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5" w:history="1">
        <w:r w:rsidRPr="008117F4">
          <w:rPr>
            <w:rFonts w:ascii="Calibri" w:eastAsia="Times New Roman" w:hAnsi="Calibri" w:cs="Times New Roman"/>
            <w:vanish/>
            <w:color w:val="0000FF"/>
            <w:u w:val="single"/>
            <w:lang w:eastAsia="es-ES"/>
          </w:rPr>
          <w:t>Correlaciones</w:t>
        </w:r>
      </w:hyperlink>
    </w:p>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6" w:history="1">
        <w:r w:rsidRPr="008117F4">
          <w:rPr>
            <w:rFonts w:ascii="Calibri" w:eastAsia="Times New Roman" w:hAnsi="Calibri" w:cs="Times New Roman"/>
            <w:vanish/>
            <w:color w:val="0000FF"/>
            <w:u w:val="single"/>
            <w:lang w:eastAsia="es-ES"/>
          </w:rPr>
          <w:t>Aplicación Práctica</w:t>
        </w:r>
      </w:hyperlink>
    </w:p>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7" w:history="1">
        <w:r w:rsidRPr="008117F4">
          <w:rPr>
            <w:rFonts w:ascii="Calibri" w:eastAsia="Times New Roman" w:hAnsi="Calibri" w:cs="Times New Roman"/>
            <w:vanish/>
            <w:color w:val="0000FF"/>
            <w:u w:val="single"/>
            <w:lang w:eastAsia="es-ES"/>
          </w:rPr>
          <w:t>Mostrar Textos Anteriores</w:t>
        </w:r>
      </w:hyperlink>
    </w:p>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8" w:history="1">
        <w:r w:rsidRPr="008117F4">
          <w:rPr>
            <w:rFonts w:ascii="Calibri" w:eastAsia="Times New Roman" w:hAnsi="Calibri" w:cs="Times New Roman"/>
            <w:vanish/>
            <w:color w:val="0000FF"/>
            <w:u w:val="single"/>
            <w:lang w:eastAsia="es-ES"/>
          </w:rPr>
          <w:t>Ocultar Textos Anteriores</w:t>
        </w:r>
      </w:hyperlink>
    </w:p>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9" w:history="1">
        <w:r w:rsidRPr="008117F4">
          <w:rPr>
            <w:rFonts w:ascii="Calibri" w:eastAsia="Times New Roman" w:hAnsi="Calibri" w:cs="Times New Roman"/>
            <w:vanish/>
            <w:color w:val="0000FF"/>
            <w:u w:val="single"/>
            <w:lang w:eastAsia="es-ES"/>
          </w:rPr>
          <w:t>Notas</w:t>
        </w:r>
      </w:hyperlink>
    </w:p>
    <w:p w:rsidR="008117F4" w:rsidRPr="008117F4" w:rsidRDefault="008117F4" w:rsidP="008117F4">
      <w:pPr>
        <w:numPr>
          <w:ilvl w:val="0"/>
          <w:numId w:val="1"/>
        </w:numPr>
        <w:spacing w:before="100" w:beforeAutospacing="1" w:after="100" w:afterAutospacing="1" w:line="240" w:lineRule="auto"/>
        <w:ind w:left="0"/>
        <w:rPr>
          <w:rFonts w:ascii="Calibri" w:eastAsia="Times New Roman" w:hAnsi="Calibri" w:cs="Times New Roman"/>
          <w:vanish/>
          <w:lang w:eastAsia="es-ES"/>
        </w:rPr>
      </w:pPr>
      <w:hyperlink r:id="rId10" w:history="1">
        <w:r w:rsidRPr="008117F4">
          <w:rPr>
            <w:rFonts w:ascii="Calibri" w:eastAsia="Times New Roman" w:hAnsi="Calibri" w:cs="Times New Roman"/>
            <w:vanish/>
            <w:color w:val="0000FF"/>
            <w:u w:val="single"/>
            <w:lang w:eastAsia="es-ES"/>
          </w:rPr>
          <w:t>Descargar</w:t>
        </w:r>
      </w:hyperlink>
    </w:p>
    <w:p w:rsidR="008117F4" w:rsidRPr="008117F4" w:rsidRDefault="008117F4" w:rsidP="008117F4">
      <w:pPr>
        <w:pBdr>
          <w:top w:val="single" w:sz="6" w:space="0" w:color="000000"/>
        </w:pBdr>
        <w:spacing w:before="200" w:after="0" w:line="240" w:lineRule="auto"/>
        <w:ind w:left="105" w:right="105"/>
        <w:rPr>
          <w:rFonts w:ascii="Verdana" w:eastAsia="Times New Roman" w:hAnsi="Verdana" w:cs="Times New Roman"/>
          <w:b/>
          <w:bCs/>
          <w:sz w:val="28"/>
          <w:szCs w:val="28"/>
          <w:lang w:eastAsia="es-ES"/>
        </w:rPr>
      </w:pPr>
      <w:r w:rsidRPr="008117F4">
        <w:rPr>
          <w:rFonts w:ascii="Verdana" w:eastAsia="Times New Roman" w:hAnsi="Verdana" w:cs="Times New Roman"/>
          <w:b/>
          <w:bCs/>
          <w:sz w:val="28"/>
          <w:szCs w:val="28"/>
          <w:lang w:eastAsia="es-ES"/>
        </w:rPr>
        <w:t xml:space="preserve">RESOLUCIÓN GENERAL (CA) 13/2016 </w:t>
      </w:r>
      <w:r w:rsidRPr="008117F4">
        <w:rPr>
          <w:rFonts w:ascii="Verdana" w:eastAsia="Times New Roman" w:hAnsi="Verdana" w:cs="Times New Roman"/>
          <w:b/>
          <w:bCs/>
          <w:noProof/>
          <w:sz w:val="28"/>
          <w:szCs w:val="28"/>
          <w:lang w:eastAsia="es-ES"/>
        </w:rPr>
        <w:drawing>
          <wp:inline distT="0" distB="0" distL="0" distR="0" wp14:anchorId="0B99AAEB" wp14:editId="213E9F23">
            <wp:extent cx="170180" cy="163830"/>
            <wp:effectExtent l="0" t="0" r="1270" b="7620"/>
            <wp:docPr id="2" name="Imagen 2" descr="http://eol.errepar.com/sitios/ver/Img/20160624072617959/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ol.errepar.com/sitios/ver/Img/20160624072617959/image1.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0180" cy="163830"/>
                    </a:xfrm>
                    <a:prstGeom prst="rect">
                      <a:avLst/>
                    </a:prstGeom>
                    <a:noFill/>
                    <a:ln>
                      <a:noFill/>
                    </a:ln>
                  </pic:spPr>
                </pic:pic>
              </a:graphicData>
            </a:graphic>
          </wp:inline>
        </w:drawing>
      </w:r>
    </w:p>
    <w:p w:rsidR="008117F4" w:rsidRPr="008117F4" w:rsidRDefault="008117F4" w:rsidP="008117F4">
      <w:pPr>
        <w:spacing w:before="100" w:after="120" w:line="240" w:lineRule="auto"/>
        <w:ind w:left="105" w:right="105"/>
        <w:jc w:val="both"/>
        <w:rPr>
          <w:rFonts w:ascii="Verdana" w:eastAsia="Times New Roman" w:hAnsi="Verdana" w:cs="Times New Roman"/>
          <w:b/>
          <w:bCs/>
          <w:sz w:val="20"/>
          <w:szCs w:val="20"/>
          <w:lang w:eastAsia="es-ES"/>
        </w:rPr>
      </w:pPr>
      <w:r w:rsidRPr="008117F4">
        <w:rPr>
          <w:rFonts w:ascii="Verdana" w:eastAsia="Times New Roman" w:hAnsi="Verdana" w:cs="Times New Roman"/>
          <w:b/>
          <w:bCs/>
          <w:sz w:val="20"/>
          <w:szCs w:val="20"/>
          <w:lang w:eastAsia="es-ES"/>
        </w:rPr>
        <w:t>Ingresos brutos. Régimen de Percepción en Operaciones de Importación (SIRPEI). Alícuota aplicable a las jurisdicciones</w:t>
      </w:r>
    </w:p>
    <w:p w:rsidR="008117F4" w:rsidRPr="008117F4" w:rsidRDefault="008117F4" w:rsidP="008117F4">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b/>
          <w:bCs/>
          <w:sz w:val="16"/>
          <w:szCs w:val="16"/>
          <w:lang w:eastAsia="es-ES"/>
        </w:rPr>
        <w:t xml:space="preserve">SUMARIO: </w:t>
      </w:r>
      <w:r w:rsidRPr="008117F4">
        <w:rPr>
          <w:rFonts w:ascii="Verdana" w:eastAsia="Times New Roman" w:hAnsi="Verdana" w:cs="Times New Roman"/>
          <w:i/>
          <w:iCs/>
          <w:sz w:val="16"/>
          <w:szCs w:val="16"/>
          <w:lang w:eastAsia="es-ES"/>
        </w:rPr>
        <w:t xml:space="preserve">Se establece que, a partir del 1/8/2016, cada jurisdicción adherida al Régimen de </w:t>
      </w:r>
      <w:bookmarkStart w:id="0" w:name="_GoBack"/>
      <w:r w:rsidRPr="008117F4">
        <w:rPr>
          <w:rFonts w:ascii="Verdana" w:eastAsia="Times New Roman" w:hAnsi="Verdana" w:cs="Times New Roman"/>
          <w:i/>
          <w:iCs/>
          <w:sz w:val="16"/>
          <w:szCs w:val="16"/>
          <w:lang w:eastAsia="es-ES"/>
        </w:rPr>
        <w:t xml:space="preserve">Percepción en Operaciones de Importación (SIRPEI) -RG (CACM) 3/2013- podrá establecer una alícuota diferente sobre los sujetos pasivos del impuesto sobre los ingresos brutos que realicen operaciones de importación y que tengan declarada actividad en las mismas. En caso de no fijar una </w:t>
      </w:r>
      <w:bookmarkEnd w:id="0"/>
      <w:r w:rsidRPr="008117F4">
        <w:rPr>
          <w:rFonts w:ascii="Verdana" w:eastAsia="Times New Roman" w:hAnsi="Verdana" w:cs="Times New Roman"/>
          <w:i/>
          <w:iCs/>
          <w:sz w:val="16"/>
          <w:szCs w:val="16"/>
          <w:lang w:eastAsia="es-ES"/>
        </w:rPr>
        <w:t xml:space="preserve">alícuota diferente, se continuará aplicando la alícuota de 2,5% establecida originalmente. </w:t>
      </w:r>
      <w:r w:rsidRPr="008117F4">
        <w:rPr>
          <w:rFonts w:ascii="Verdana" w:eastAsia="Times New Roman" w:hAnsi="Verdana" w:cs="Times New Roman"/>
          <w:i/>
          <w:iCs/>
          <w:sz w:val="16"/>
          <w:szCs w:val="16"/>
          <w:lang w:eastAsia="es-ES"/>
        </w:rPr>
        <w:br/>
        <w:t>Destacamos que, en caso de fijar una nueva alícuota, cada jurisdicción deberá comunicarlo por medio de una norma a la Comisión Arbitral para que esta coordine con la AFIP la puesta en vigencia.</w:t>
      </w:r>
      <w:r w:rsidRPr="008117F4">
        <w:rPr>
          <w:rFonts w:ascii="Verdana" w:eastAsia="Times New Roman" w:hAnsi="Verdana" w:cs="Times New Roman"/>
          <w:sz w:val="16"/>
          <w:szCs w:val="16"/>
          <w:lang w:eastAsia="es-ES"/>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3095"/>
        <w:gridCol w:w="5409"/>
      </w:tblGrid>
      <w:tr w:rsidR="008117F4" w:rsidRPr="008117F4" w:rsidTr="008117F4">
        <w:trPr>
          <w:trHeight w:val="225"/>
        </w:trPr>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JURISDICCIÓN:</w:t>
            </w:r>
          </w:p>
        </w:tc>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Nacional</w:t>
            </w:r>
          </w:p>
        </w:tc>
      </w:tr>
      <w:tr w:rsidR="008117F4" w:rsidRPr="008117F4" w:rsidTr="008117F4">
        <w:trPr>
          <w:trHeight w:val="225"/>
        </w:trPr>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ORGANISMO:</w:t>
            </w:r>
          </w:p>
        </w:tc>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Com. Arbitral Convenio Multilateral</w:t>
            </w:r>
          </w:p>
        </w:tc>
      </w:tr>
      <w:tr w:rsidR="008117F4" w:rsidRPr="008117F4" w:rsidTr="008117F4">
        <w:trPr>
          <w:trHeight w:val="225"/>
        </w:trPr>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FECHA:</w:t>
            </w:r>
          </w:p>
        </w:tc>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15/06/2016</w:t>
            </w:r>
          </w:p>
        </w:tc>
      </w:tr>
      <w:tr w:rsidR="008117F4" w:rsidRPr="008117F4" w:rsidTr="008117F4">
        <w:trPr>
          <w:trHeight w:val="225"/>
        </w:trPr>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BOL. OFICIAL:</w:t>
            </w:r>
          </w:p>
        </w:tc>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24/06/2016</w:t>
            </w:r>
          </w:p>
        </w:tc>
      </w:tr>
      <w:tr w:rsidR="008117F4" w:rsidRPr="008117F4" w:rsidTr="008117F4">
        <w:trPr>
          <w:trHeight w:val="225"/>
        </w:trPr>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 </w:t>
            </w:r>
          </w:p>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VIGENCIA DESDE:</w:t>
            </w:r>
          </w:p>
        </w:tc>
        <w:tc>
          <w:tcPr>
            <w:tcW w:w="0" w:type="auto"/>
            <w:tcMar>
              <w:top w:w="30" w:type="dxa"/>
              <w:left w:w="30" w:type="dxa"/>
              <w:bottom w:w="30" w:type="dxa"/>
              <w:right w:w="30" w:type="dxa"/>
            </w:tcMar>
            <w:vAlign w:val="center"/>
            <w:hideMark/>
          </w:tcPr>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 </w:t>
            </w:r>
          </w:p>
          <w:p w:rsidR="008117F4" w:rsidRPr="008117F4" w:rsidRDefault="008117F4" w:rsidP="008117F4">
            <w:pPr>
              <w:spacing w:after="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24/06/2016</w:t>
            </w:r>
          </w:p>
        </w:tc>
      </w:tr>
    </w:tbl>
    <w:p w:rsidR="008117F4" w:rsidRPr="008117F4" w:rsidRDefault="008117F4" w:rsidP="008117F4">
      <w:pPr>
        <w:pBdr>
          <w:top w:val="single" w:sz="6" w:space="7" w:color="000000"/>
        </w:pBdr>
        <w:spacing w:before="140" w:after="105" w:line="240" w:lineRule="auto"/>
        <w:ind w:left="105" w:right="105"/>
        <w:jc w:val="both"/>
        <w:rPr>
          <w:rFonts w:ascii="Times New Roman" w:eastAsia="Times New Roman" w:hAnsi="Times New Roman" w:cs="Times New Roman"/>
          <w:sz w:val="24"/>
          <w:szCs w:val="24"/>
          <w:lang w:eastAsia="es-ES"/>
        </w:rPr>
      </w:pPr>
      <w:r w:rsidRPr="008117F4">
        <w:rPr>
          <w:rFonts w:ascii="Verdana" w:eastAsia="Times New Roman" w:hAnsi="Verdana" w:cs="Times New Roman"/>
          <w:sz w:val="16"/>
          <w:szCs w:val="16"/>
          <w:lang w:eastAsia="es-ES"/>
        </w:rPr>
        <w:t> </w:t>
      </w:r>
    </w:p>
    <w:tbl>
      <w:tblPr>
        <w:tblW w:w="2625" w:type="dxa"/>
        <w:tblCellMar>
          <w:top w:w="15" w:type="dxa"/>
          <w:left w:w="15" w:type="dxa"/>
          <w:bottom w:w="15" w:type="dxa"/>
          <w:right w:w="15" w:type="dxa"/>
        </w:tblCellMar>
        <w:tblLook w:val="04A0" w:firstRow="1" w:lastRow="0" w:firstColumn="1" w:lastColumn="0" w:noHBand="0" w:noVBand="1"/>
      </w:tblPr>
      <w:tblGrid>
        <w:gridCol w:w="2625"/>
      </w:tblGrid>
      <w:tr w:rsidR="008117F4" w:rsidRPr="008117F4" w:rsidTr="008117F4">
        <w:tc>
          <w:tcPr>
            <w:tcW w:w="0" w:type="auto"/>
            <w:tcMar>
              <w:top w:w="90" w:type="dxa"/>
              <w:left w:w="90" w:type="dxa"/>
              <w:bottom w:w="90" w:type="dxa"/>
              <w:right w:w="90" w:type="dxa"/>
            </w:tcMar>
            <w:hideMark/>
          </w:tcPr>
          <w:p w:rsidR="008117F4" w:rsidRPr="008117F4" w:rsidRDefault="008117F4" w:rsidP="008117F4">
            <w:pPr>
              <w:spacing w:before="120" w:after="0" w:line="240" w:lineRule="auto"/>
              <w:ind w:left="105" w:right="105"/>
              <w:jc w:val="both"/>
              <w:rPr>
                <w:rFonts w:ascii="Verdana" w:eastAsia="Times New Roman" w:hAnsi="Verdana" w:cs="Times New Roman"/>
                <w:sz w:val="16"/>
                <w:szCs w:val="16"/>
                <w:lang w:eastAsia="es-ES"/>
              </w:rPr>
            </w:pPr>
            <w:hyperlink r:id="rId12" w:anchor="textosegun" w:tgtFrame="_self" w:history="1">
              <w:r w:rsidRPr="008117F4">
                <w:rPr>
                  <w:rFonts w:ascii="Verdana" w:eastAsia="Times New Roman" w:hAnsi="Verdana" w:cs="Times New Roman"/>
                  <w:color w:val="0000FF"/>
                  <w:sz w:val="16"/>
                  <w:szCs w:val="16"/>
                  <w:u w:val="single"/>
                  <w:lang w:eastAsia="es-ES"/>
                </w:rPr>
                <w:t>Análisis de la norma</w:t>
              </w:r>
            </w:hyperlink>
            <w:r w:rsidRPr="008117F4">
              <w:rPr>
                <w:rFonts w:ascii="Verdana" w:eastAsia="Times New Roman" w:hAnsi="Verdana" w:cs="Times New Roman"/>
                <w:sz w:val="16"/>
                <w:szCs w:val="16"/>
                <w:lang w:eastAsia="es-ES"/>
              </w:rPr>
              <w:t> </w:t>
            </w:r>
          </w:p>
        </w:tc>
      </w:tr>
    </w:tbl>
    <w:p w:rsidR="008117F4" w:rsidRPr="008117F4" w:rsidRDefault="008117F4" w:rsidP="008117F4">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 </w:t>
      </w:r>
    </w:p>
    <w:p w:rsidR="008117F4" w:rsidRPr="008117F4" w:rsidRDefault="008117F4" w:rsidP="008117F4">
      <w:pPr>
        <w:spacing w:before="105" w:after="105" w:line="240" w:lineRule="auto"/>
        <w:ind w:left="105" w:right="105"/>
        <w:rPr>
          <w:rFonts w:ascii="Times New Roman" w:eastAsia="Times New Roman" w:hAnsi="Times New Roman" w:cs="Times New Roman"/>
          <w:sz w:val="24"/>
          <w:szCs w:val="24"/>
          <w:lang w:eastAsia="es-ES"/>
        </w:rPr>
      </w:pPr>
      <w:r w:rsidRPr="008117F4">
        <w:rPr>
          <w:rFonts w:ascii="Times New Roman" w:eastAsia="Times New Roman" w:hAnsi="Times New Roman" w:cs="Times New Roman"/>
          <w:sz w:val="24"/>
          <w:szCs w:val="24"/>
          <w:lang w:eastAsia="es-ES"/>
        </w:rPr>
        <w:t> </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VISTO:</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 xml:space="preserve">El Régimen de Percepción en Aduana -SIRPEI- del Impuesto sobre los Ingresos Brutos y la </w:t>
      </w:r>
      <w:hyperlink r:id="rId13" w:tgtFrame="_blank" w:history="1">
        <w:r w:rsidRPr="008117F4">
          <w:rPr>
            <w:rFonts w:ascii="Verdana" w:eastAsia="Times New Roman" w:hAnsi="Verdana" w:cs="Times New Roman"/>
            <w:color w:val="0000FF"/>
            <w:sz w:val="16"/>
            <w:szCs w:val="16"/>
            <w:u w:val="single"/>
            <w:lang w:eastAsia="es-ES"/>
          </w:rPr>
          <w:t>Resolución General N° 3/2013</w:t>
        </w:r>
      </w:hyperlink>
      <w:r w:rsidRPr="008117F4">
        <w:rPr>
          <w:rFonts w:ascii="Verdana" w:eastAsia="Times New Roman" w:hAnsi="Verdana" w:cs="Times New Roman"/>
          <w:sz w:val="16"/>
          <w:szCs w:val="16"/>
          <w:lang w:eastAsia="es-ES"/>
        </w:rPr>
        <w:t>; y,</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CONSIDERANDO:</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Que al presente, el régimen opera sobre los contribuyentes del impuesto comprendidos en el Convenio Multilateral con una única alícuota de percepción para el conjunto de las jurisdicciones adheridas al mismo.</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Que oportunamente, se solicitó a la AFIP la factibilidad de que cada fisco pueda implementar una alícuota diferenciada y que dicho Organismo ha culminado las acciones necesarias para instrumentar lo solicitado.</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Por ello:</w:t>
      </w:r>
    </w:p>
    <w:p w:rsidR="008117F4" w:rsidRPr="008117F4" w:rsidRDefault="008117F4" w:rsidP="008117F4">
      <w:pPr>
        <w:spacing w:before="200" w:after="100" w:line="240" w:lineRule="auto"/>
        <w:ind w:left="105" w:right="105"/>
        <w:jc w:val="center"/>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LA COMISIÓN ARBITRAL</w:t>
      </w:r>
    </w:p>
    <w:p w:rsidR="008117F4" w:rsidRPr="008117F4" w:rsidRDefault="008117F4" w:rsidP="008117F4">
      <w:pPr>
        <w:spacing w:before="200" w:after="100" w:line="240" w:lineRule="auto"/>
        <w:ind w:left="105" w:right="105"/>
        <w:jc w:val="center"/>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Convenio Multilateral del 18/8/1977</w:t>
      </w:r>
    </w:p>
    <w:p w:rsidR="008117F4" w:rsidRPr="008117F4" w:rsidRDefault="008117F4" w:rsidP="008117F4">
      <w:pPr>
        <w:spacing w:before="200" w:after="100" w:line="240" w:lineRule="auto"/>
        <w:ind w:left="105" w:right="105"/>
        <w:jc w:val="center"/>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RESUELVE:</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b/>
          <w:bCs/>
          <w:sz w:val="16"/>
          <w:szCs w:val="16"/>
          <w:lang w:eastAsia="es-ES"/>
        </w:rPr>
        <w:t xml:space="preserve">Art. 1 - </w:t>
      </w:r>
      <w:r w:rsidRPr="008117F4">
        <w:rPr>
          <w:rFonts w:ascii="Verdana" w:eastAsia="Times New Roman" w:hAnsi="Verdana" w:cs="Times New Roman"/>
          <w:sz w:val="16"/>
          <w:szCs w:val="16"/>
          <w:lang w:eastAsia="es-ES"/>
        </w:rPr>
        <w:t xml:space="preserve">Modifícase el </w:t>
      </w:r>
      <w:hyperlink r:id="rId14" w:tgtFrame="_blank" w:history="1">
        <w:r w:rsidRPr="008117F4">
          <w:rPr>
            <w:rFonts w:ascii="Verdana" w:eastAsia="Times New Roman" w:hAnsi="Verdana" w:cs="Times New Roman"/>
            <w:color w:val="0000FF"/>
            <w:sz w:val="16"/>
            <w:szCs w:val="16"/>
            <w:u w:val="single"/>
            <w:lang w:eastAsia="es-ES"/>
          </w:rPr>
          <w:t>artículo 1 de la resolución general 3/2013</w:t>
        </w:r>
      </w:hyperlink>
      <w:r w:rsidRPr="008117F4">
        <w:rPr>
          <w:rFonts w:ascii="Verdana" w:eastAsia="Times New Roman" w:hAnsi="Verdana" w:cs="Times New Roman"/>
          <w:sz w:val="16"/>
          <w:szCs w:val="16"/>
          <w:lang w:eastAsia="es-ES"/>
        </w:rPr>
        <w:t xml:space="preserve"> (SIRPEI) por el siguiente:</w:t>
      </w:r>
    </w:p>
    <w:p w:rsidR="008117F4" w:rsidRPr="008117F4" w:rsidRDefault="008117F4" w:rsidP="008117F4">
      <w:pPr>
        <w:spacing w:before="80" w:after="0" w:line="240" w:lineRule="auto"/>
        <w:ind w:left="270" w:right="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“Art. 1 - La alícuota establecida para el régimen de percepción a cuenta del impuesto sobre los ingresos brutos en el Régimen de Percepción en Operaciones de Importación (SIRPEI) para los contribuyentes de Convenio Multilateral es del dos coma cinco por ciento (2,5%).</w:t>
      </w:r>
    </w:p>
    <w:p w:rsidR="008117F4" w:rsidRPr="008117F4" w:rsidRDefault="008117F4" w:rsidP="008117F4">
      <w:pPr>
        <w:spacing w:before="80" w:after="0" w:line="240" w:lineRule="auto"/>
        <w:ind w:left="270" w:right="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A partir del 1 de agosto de 2016, cada jurisdicción adherida al régimen podrá establecer una alícuota diferente a la antes mencionada sobre los sujetos pasivos del impuesto que realicen operaciones de importación y que tengan declarada actividad en ese fisco. A esos efectos, deberán comunicar la norma por la que se instrumenta esa opción a la Comisión Arbitral, que coordinará con la AFIP su puesta en vigencia. Si no hace uso de esa opción, continuará en vigor la alícuota del dos coma cinco por ciento (2,5%)”.</w:t>
      </w:r>
    </w:p>
    <w:p w:rsidR="008117F4" w:rsidRPr="008117F4" w:rsidRDefault="008117F4" w:rsidP="008117F4">
      <w:pPr>
        <w:spacing w:before="80" w:after="0" w:line="240" w:lineRule="auto"/>
        <w:ind w:left="105" w:right="105" w:firstLine="105"/>
        <w:jc w:val="both"/>
        <w:rPr>
          <w:rFonts w:ascii="Verdana" w:eastAsia="Times New Roman" w:hAnsi="Verdana" w:cs="Times New Roman"/>
          <w:sz w:val="16"/>
          <w:szCs w:val="16"/>
          <w:lang w:eastAsia="es-ES"/>
        </w:rPr>
      </w:pPr>
      <w:r w:rsidRPr="008117F4">
        <w:rPr>
          <w:rFonts w:ascii="Verdana" w:eastAsia="Times New Roman" w:hAnsi="Verdana" w:cs="Times New Roman"/>
          <w:b/>
          <w:bCs/>
          <w:sz w:val="16"/>
          <w:szCs w:val="16"/>
          <w:lang w:eastAsia="es-ES"/>
        </w:rPr>
        <w:t>Art. 2 -</w:t>
      </w:r>
      <w:r w:rsidRPr="008117F4">
        <w:rPr>
          <w:rFonts w:ascii="Verdana" w:eastAsia="Times New Roman" w:hAnsi="Verdana" w:cs="Times New Roman"/>
          <w:sz w:val="16"/>
          <w:szCs w:val="16"/>
          <w:lang w:eastAsia="es-ES"/>
        </w:rPr>
        <w:t xml:space="preserve"> De forma.</w:t>
      </w:r>
    </w:p>
    <w:p w:rsidR="008117F4" w:rsidRPr="008117F4" w:rsidRDefault="008117F4" w:rsidP="008117F4">
      <w:pPr>
        <w:spacing w:before="120" w:after="0" w:line="240" w:lineRule="auto"/>
        <w:ind w:left="105" w:right="105"/>
        <w:jc w:val="both"/>
        <w:rPr>
          <w:rFonts w:ascii="Verdana" w:eastAsia="Times New Roman" w:hAnsi="Verdana" w:cs="Times New Roman"/>
          <w:sz w:val="16"/>
          <w:szCs w:val="16"/>
          <w:lang w:eastAsia="es-ES"/>
        </w:rPr>
      </w:pPr>
      <w:bookmarkStart w:id="1" w:name="textosegun"/>
      <w:r w:rsidRPr="008117F4">
        <w:rPr>
          <w:rFonts w:ascii="Verdana" w:eastAsia="Times New Roman" w:hAnsi="Verdana" w:cs="Times New Roman"/>
          <w:vanish/>
          <w:sz w:val="16"/>
          <w:szCs w:val="16"/>
          <w:lang w:eastAsia="es-ES"/>
        </w:rPr>
        <w:t> </w:t>
      </w:r>
      <w:bookmarkEnd w:id="1"/>
      <w:r w:rsidRPr="008117F4">
        <w:rPr>
          <w:rFonts w:ascii="Verdana" w:eastAsia="Times New Roman" w:hAnsi="Verdana" w:cs="Times New Roman"/>
          <w:b/>
          <w:bCs/>
          <w:sz w:val="16"/>
          <w:szCs w:val="16"/>
          <w:lang w:eastAsia="es-ES"/>
        </w:rPr>
        <w:t>TEXTO S/</w:t>
      </w:r>
      <w:r w:rsidRPr="008117F4">
        <w:rPr>
          <w:rFonts w:ascii="Verdana" w:eastAsia="Times New Roman" w:hAnsi="Verdana" w:cs="Times New Roman"/>
          <w:sz w:val="16"/>
          <w:szCs w:val="16"/>
          <w:lang w:eastAsia="es-ES"/>
        </w:rPr>
        <w:t xml:space="preserve">RG (CA) 13/2016 - </w:t>
      </w:r>
      <w:r w:rsidRPr="008117F4">
        <w:rPr>
          <w:rFonts w:ascii="Verdana" w:eastAsia="Times New Roman" w:hAnsi="Verdana" w:cs="Times New Roman"/>
          <w:b/>
          <w:bCs/>
          <w:sz w:val="16"/>
          <w:szCs w:val="16"/>
          <w:lang w:eastAsia="es-ES"/>
        </w:rPr>
        <w:t>BO</w:t>
      </w:r>
      <w:r w:rsidRPr="008117F4">
        <w:rPr>
          <w:rFonts w:ascii="Verdana" w:eastAsia="Times New Roman" w:hAnsi="Verdana" w:cs="Times New Roman"/>
          <w:sz w:val="16"/>
          <w:szCs w:val="16"/>
          <w:lang w:eastAsia="es-ES"/>
        </w:rPr>
        <w:t>: 24/6/2016</w:t>
      </w:r>
    </w:p>
    <w:p w:rsidR="008117F4" w:rsidRPr="008117F4" w:rsidRDefault="008117F4" w:rsidP="008117F4">
      <w:pPr>
        <w:spacing w:before="120" w:after="0" w:line="240" w:lineRule="auto"/>
        <w:ind w:left="105" w:right="105"/>
        <w:jc w:val="both"/>
        <w:rPr>
          <w:rFonts w:ascii="Verdana" w:eastAsia="Times New Roman" w:hAnsi="Verdana" w:cs="Times New Roman"/>
          <w:sz w:val="16"/>
          <w:szCs w:val="16"/>
          <w:lang w:eastAsia="es-ES"/>
        </w:rPr>
      </w:pPr>
      <w:r w:rsidRPr="008117F4">
        <w:rPr>
          <w:rFonts w:ascii="Verdana" w:eastAsia="Times New Roman" w:hAnsi="Verdana" w:cs="Times New Roman"/>
          <w:b/>
          <w:bCs/>
          <w:sz w:val="16"/>
          <w:szCs w:val="16"/>
          <w:lang w:eastAsia="es-ES"/>
        </w:rPr>
        <w:t>FUENTE:</w:t>
      </w:r>
      <w:r w:rsidRPr="008117F4">
        <w:rPr>
          <w:rFonts w:ascii="Verdana" w:eastAsia="Times New Roman" w:hAnsi="Verdana" w:cs="Times New Roman"/>
          <w:sz w:val="16"/>
          <w:szCs w:val="16"/>
          <w:lang w:eastAsia="es-ES"/>
        </w:rPr>
        <w:t xml:space="preserve"> RG (CA) 13/2016</w:t>
      </w:r>
    </w:p>
    <w:p w:rsidR="008117F4" w:rsidRPr="008117F4" w:rsidRDefault="008117F4" w:rsidP="008117F4">
      <w:pPr>
        <w:shd w:val="clear" w:color="auto" w:fill="000000"/>
        <w:spacing w:before="120" w:after="100" w:afterAutospacing="1" w:line="240" w:lineRule="auto"/>
        <w:ind w:left="105" w:right="105"/>
        <w:rPr>
          <w:rFonts w:ascii="Verdana" w:eastAsia="Times New Roman" w:hAnsi="Verdana" w:cs="Times New Roman"/>
          <w:b/>
          <w:bCs/>
          <w:color w:val="FFFFFF"/>
          <w:sz w:val="16"/>
          <w:szCs w:val="16"/>
          <w:lang w:eastAsia="es-ES"/>
        </w:rPr>
      </w:pPr>
      <w:r w:rsidRPr="008117F4">
        <w:rPr>
          <w:rFonts w:ascii="Verdana" w:eastAsia="Times New Roman" w:hAnsi="Verdana" w:cs="Times New Roman"/>
          <w:b/>
          <w:bCs/>
          <w:color w:val="FFFFFF"/>
          <w:sz w:val="16"/>
          <w:szCs w:val="16"/>
          <w:lang w:eastAsia="es-ES"/>
        </w:rPr>
        <w:lastRenderedPageBreak/>
        <w:t>VIGENCIA Y APLICACIÓN</w:t>
      </w:r>
    </w:p>
    <w:p w:rsidR="008117F4" w:rsidRPr="008117F4" w:rsidRDefault="008117F4" w:rsidP="008117F4">
      <w:pPr>
        <w:spacing w:before="120" w:after="0" w:line="240" w:lineRule="auto"/>
        <w:ind w:left="105" w:right="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Vigencia: 24/6/2016</w:t>
      </w:r>
    </w:p>
    <w:p w:rsidR="008117F4" w:rsidRPr="008117F4" w:rsidRDefault="008117F4" w:rsidP="008117F4">
      <w:pPr>
        <w:spacing w:before="120" w:after="0" w:line="240" w:lineRule="auto"/>
        <w:ind w:left="105" w:right="105"/>
        <w:jc w:val="both"/>
        <w:rPr>
          <w:rFonts w:ascii="Verdana" w:eastAsia="Times New Roman" w:hAnsi="Verdana" w:cs="Times New Roman"/>
          <w:sz w:val="16"/>
          <w:szCs w:val="16"/>
          <w:lang w:eastAsia="es-ES"/>
        </w:rPr>
      </w:pPr>
      <w:r w:rsidRPr="008117F4">
        <w:rPr>
          <w:rFonts w:ascii="Verdana" w:eastAsia="Times New Roman" w:hAnsi="Verdana" w:cs="Times New Roman"/>
          <w:sz w:val="16"/>
          <w:szCs w:val="16"/>
          <w:lang w:eastAsia="es-ES"/>
        </w:rPr>
        <w:t>Aplicación: a partir del 1/8/2016</w:t>
      </w:r>
    </w:p>
    <w:p w:rsidR="008117F4" w:rsidRPr="008117F4" w:rsidRDefault="008117F4" w:rsidP="008117F4">
      <w:pPr>
        <w:spacing w:after="0" w:line="240" w:lineRule="auto"/>
        <w:jc w:val="right"/>
        <w:rPr>
          <w:rFonts w:ascii="Verdana" w:eastAsia="Times New Roman" w:hAnsi="Verdana" w:cs="Times New Roman"/>
          <w:vanish/>
          <w:color w:val="7F7F7F"/>
          <w:sz w:val="18"/>
          <w:szCs w:val="18"/>
          <w:lang w:eastAsia="es-ES"/>
        </w:rPr>
      </w:pPr>
      <w:r w:rsidRPr="008117F4">
        <w:rPr>
          <w:rFonts w:ascii="Verdana" w:eastAsia="Times New Roman" w:hAnsi="Verdana" w:cs="Times New Roman"/>
          <w:vanish/>
          <w:color w:val="7F7F7F"/>
          <w:sz w:val="18"/>
          <w:szCs w:val="18"/>
          <w:lang w:eastAsia="es-ES"/>
        </w:rPr>
        <w:pict>
          <v:rect id="_x0000_i1027" style="width:0;height:1.5pt" o:hralign="center" o:hrstd="t" o:hr="t" fillcolor="#a0a0a0" stroked="f"/>
        </w:pict>
      </w:r>
    </w:p>
    <w:p w:rsidR="008117F4" w:rsidRPr="008117F4" w:rsidRDefault="008117F4" w:rsidP="008117F4">
      <w:pPr>
        <w:spacing w:after="0" w:line="240" w:lineRule="auto"/>
        <w:jc w:val="right"/>
        <w:rPr>
          <w:rFonts w:ascii="Verdana" w:eastAsia="Times New Roman" w:hAnsi="Verdana" w:cs="Times New Roman"/>
          <w:vanish/>
          <w:color w:val="7F7F7F"/>
          <w:sz w:val="18"/>
          <w:szCs w:val="18"/>
          <w:lang w:eastAsia="es-ES"/>
        </w:rPr>
      </w:pPr>
      <w:r w:rsidRPr="008117F4">
        <w:rPr>
          <w:rFonts w:ascii="Verdana" w:eastAsia="Times New Roman" w:hAnsi="Verdana" w:cs="Times New Roman"/>
          <w:vanish/>
          <w:color w:val="7F7F7F"/>
          <w:sz w:val="18"/>
          <w:szCs w:val="18"/>
          <w:lang w:eastAsia="es-ES"/>
        </w:rPr>
        <w:t xml:space="preserve">Editorial Errepar - Todos los derechos reservados. </w:t>
      </w:r>
    </w:p>
    <w:p w:rsidR="00101FBF" w:rsidRDefault="00101FBF"/>
    <w:sectPr w:rsidR="00101FB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72E3A"/>
    <w:multiLevelType w:val="multilevel"/>
    <w:tmpl w:val="263C4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17F4"/>
    <w:rsid w:val="00101FBF"/>
    <w:rsid w:val="008117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1ABA6-E84C-442E-86B9-77AAD2322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8085088">
      <w:bodyDiv w:val="1"/>
      <w:marLeft w:val="0"/>
      <w:marRight w:val="0"/>
      <w:marTop w:val="0"/>
      <w:marBottom w:val="0"/>
      <w:divBdr>
        <w:top w:val="none" w:sz="0" w:space="0" w:color="auto"/>
        <w:left w:val="none" w:sz="0" w:space="0" w:color="auto"/>
        <w:bottom w:val="none" w:sz="0" w:space="0" w:color="auto"/>
        <w:right w:val="none" w:sz="0" w:space="0" w:color="auto"/>
      </w:divBdr>
      <w:divsChild>
        <w:div w:id="403182986">
          <w:marLeft w:val="0"/>
          <w:marRight w:val="0"/>
          <w:marTop w:val="0"/>
          <w:marBottom w:val="0"/>
          <w:divBdr>
            <w:top w:val="none" w:sz="0" w:space="0" w:color="auto"/>
            <w:left w:val="none" w:sz="0" w:space="0" w:color="auto"/>
            <w:bottom w:val="none" w:sz="0" w:space="0" w:color="auto"/>
            <w:right w:val="none" w:sz="0" w:space="0" w:color="auto"/>
          </w:divBdr>
          <w:divsChild>
            <w:div w:id="72053401">
              <w:marLeft w:val="0"/>
              <w:marRight w:val="0"/>
              <w:marTop w:val="0"/>
              <w:marBottom w:val="0"/>
              <w:divBdr>
                <w:top w:val="none" w:sz="0" w:space="0" w:color="auto"/>
                <w:left w:val="none" w:sz="0" w:space="0" w:color="auto"/>
                <w:bottom w:val="single" w:sz="6" w:space="0" w:color="FFFFFF"/>
                <w:right w:val="none" w:sz="0" w:space="0" w:color="auto"/>
              </w:divBdr>
            </w:div>
            <w:div w:id="102578874">
              <w:marLeft w:val="0"/>
              <w:marRight w:val="0"/>
              <w:marTop w:val="0"/>
              <w:marBottom w:val="0"/>
              <w:divBdr>
                <w:top w:val="none" w:sz="0" w:space="0" w:color="auto"/>
                <w:left w:val="none" w:sz="0" w:space="0" w:color="auto"/>
                <w:bottom w:val="none" w:sz="0" w:space="0" w:color="auto"/>
                <w:right w:val="none" w:sz="0" w:space="0" w:color="auto"/>
              </w:divBdr>
            </w:div>
          </w:divsChild>
        </w:div>
        <w:div w:id="374962509">
          <w:marLeft w:val="0"/>
          <w:marRight w:val="0"/>
          <w:marTop w:val="0"/>
          <w:marBottom w:val="0"/>
          <w:divBdr>
            <w:top w:val="none" w:sz="0" w:space="0" w:color="auto"/>
            <w:left w:val="none" w:sz="0" w:space="0" w:color="auto"/>
            <w:bottom w:val="none" w:sz="0" w:space="0" w:color="auto"/>
            <w:right w:val="none" w:sz="0" w:space="0" w:color="auto"/>
          </w:divBdr>
          <w:divsChild>
            <w:div w:id="2113626853">
              <w:marLeft w:val="0"/>
              <w:marRight w:val="0"/>
              <w:marTop w:val="0"/>
              <w:marBottom w:val="0"/>
              <w:divBdr>
                <w:top w:val="none" w:sz="0" w:space="0" w:color="auto"/>
                <w:left w:val="none" w:sz="0" w:space="0" w:color="auto"/>
                <w:bottom w:val="none" w:sz="0" w:space="0" w:color="auto"/>
                <w:right w:val="none" w:sz="0" w:space="0" w:color="auto"/>
              </w:divBdr>
            </w:div>
          </w:divsChild>
        </w:div>
        <w:div w:id="963774076">
          <w:marLeft w:val="0"/>
          <w:marRight w:val="0"/>
          <w:marTop w:val="0"/>
          <w:marBottom w:val="0"/>
          <w:divBdr>
            <w:top w:val="none" w:sz="0" w:space="0" w:color="auto"/>
            <w:left w:val="none" w:sz="0" w:space="0" w:color="auto"/>
            <w:bottom w:val="none" w:sz="0" w:space="0" w:color="auto"/>
            <w:right w:val="none" w:sz="0" w:space="0" w:color="auto"/>
          </w:divBdr>
          <w:divsChild>
            <w:div w:id="68625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toggleTextoAnterior()" TargetMode="External"/><Relationship Id="rId13" Type="http://schemas.openxmlformats.org/officeDocument/2006/relationships/hyperlink" Target="http://eolgestion.errepar.com/sitios/eolgestion/Legislacion/20130419074248041.docxhtml" TargetMode="External"/><Relationship Id="rId3" Type="http://schemas.openxmlformats.org/officeDocument/2006/relationships/settings" Target="settings.xml"/><Relationship Id="rId7" Type="http://schemas.openxmlformats.org/officeDocument/2006/relationships/hyperlink" Target="javascript:toggleTextoAnterior()" TargetMode="External"/><Relationship Id="rId12" Type="http://schemas.openxmlformats.org/officeDocument/2006/relationships/hyperlink" Target="http://eol.errepar.com/sitios/ver/html/20160624072617959.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javascript:Ir('APLICACI&#211;N%20PR&#193;CTICA')" TargetMode="External"/><Relationship Id="rId11" Type="http://schemas.openxmlformats.org/officeDocument/2006/relationships/image" Target="media/image1.gif"/><Relationship Id="rId5" Type="http://schemas.openxmlformats.org/officeDocument/2006/relationships/hyperlink" Target="javascript:Ir('CORRELACIONES')" TargetMode="External"/><Relationship Id="rId15" Type="http://schemas.openxmlformats.org/officeDocument/2006/relationships/fontTable" Target="fontTable.xml"/><Relationship Id="rId10" Type="http://schemas.openxmlformats.org/officeDocument/2006/relationships/hyperlink" Target="javascript:descargar()" TargetMode="External"/><Relationship Id="rId4" Type="http://schemas.openxmlformats.org/officeDocument/2006/relationships/webSettings" Target="webSettings.xml"/><Relationship Id="rId9" Type="http://schemas.openxmlformats.org/officeDocument/2006/relationships/hyperlink" Target="javascript:buscar('Notas:',%20']',%20'Notas')" TargetMode="External"/><Relationship Id="rId14" Type="http://schemas.openxmlformats.org/officeDocument/2006/relationships/hyperlink" Target="http://eolgestion.errepar.com/sitios/eolgestion/Legislacion/20130419074248041.docx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532</Words>
  <Characters>2932</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TOTVS S.A.</Company>
  <LinksUpToDate>false</LinksUpToDate>
  <CharactersWithSpaces>3458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Jose Moreno</dc:creator>
  <cp:keywords/>
  <dc:description/>
  <cp:lastModifiedBy>Juan Jose Moreno</cp:lastModifiedBy>
  <cp:revision>1</cp:revision>
  <dcterms:created xsi:type="dcterms:W3CDTF">2016-08-10T13:39:00Z</dcterms:created>
  <dcterms:modified xsi:type="dcterms:W3CDTF">2016-08-10T13:41:00Z</dcterms:modified>
</cp:coreProperties>
</file>