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148" w:rsidRPr="00BD4148" w:rsidRDefault="00BD4148" w:rsidP="00BD4148">
      <w:pPr>
        <w:pBdr>
          <w:top w:val="single" w:sz="6" w:space="0" w:color="000000"/>
        </w:pBdr>
        <w:spacing w:before="200" w:after="0" w:line="240" w:lineRule="auto"/>
        <w:ind w:left="105" w:right="105"/>
        <w:rPr>
          <w:rFonts w:ascii="Verdana" w:eastAsia="Times New Roman" w:hAnsi="Verdana" w:cs="Times New Roman"/>
          <w:b/>
          <w:bCs/>
          <w:color w:val="000000"/>
          <w:sz w:val="28"/>
          <w:szCs w:val="28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000000"/>
          <w:sz w:val="28"/>
          <w:szCs w:val="28"/>
          <w:lang w:eastAsia="es-ES"/>
        </w:rPr>
        <w:t>RESOLUCIÓN GENERAL (CA) 24/2016 </w:t>
      </w:r>
      <w:r w:rsidRPr="00BD4148">
        <w:rPr>
          <w:rFonts w:ascii="Verdana" w:eastAsia="Times New Roman" w:hAnsi="Verdana" w:cs="Times New Roman"/>
          <w:b/>
          <w:bCs/>
          <w:noProof/>
          <w:color w:val="000000"/>
          <w:sz w:val="28"/>
          <w:szCs w:val="28"/>
          <w:lang w:eastAsia="es-ES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Rectángulo 1" descr="http://eol.errepar.com/sitios/ver/Img/20161205071922339/image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300B92F" id="Rectángulo 1" o:spid="_x0000_s1026" alt="http://eol.errepar.com/sitios/ver/Img/20161205071922339/image1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AXshGftAgAABAY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</w:p>
    <w:p w:rsidR="00BD4148" w:rsidRPr="00BD4148" w:rsidRDefault="00BD4148" w:rsidP="00BD4148">
      <w:pPr>
        <w:spacing w:before="100" w:after="120" w:line="240" w:lineRule="auto"/>
        <w:ind w:left="105" w:right="105"/>
        <w:jc w:val="both"/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es-ES"/>
        </w:rPr>
        <w:t>Convenio Multilateral. Pautas a las que deben sujetarse las jurisdicciones que establezcan regímenes de percepción para contribuyentes que distribuyan sus ingresos mediante el régimen general</w:t>
      </w:r>
    </w:p>
    <w:p w:rsidR="00BD4148" w:rsidRPr="00BD4148" w:rsidRDefault="00BD4148" w:rsidP="00BD4148">
      <w:pPr>
        <w:pBdr>
          <w:bottom w:val="single" w:sz="6" w:space="10" w:color="000000"/>
        </w:pBdr>
        <w:spacing w:before="160" w:after="200" w:line="240" w:lineRule="auto"/>
        <w:ind w:left="105" w:right="105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000000"/>
          <w:sz w:val="16"/>
          <w:szCs w:val="16"/>
          <w:lang w:eastAsia="es-ES"/>
        </w:rPr>
        <w:t>SUMARIO: </w:t>
      </w:r>
      <w:r w:rsidRPr="00BD4148">
        <w:rPr>
          <w:rFonts w:ascii="Verdana" w:eastAsia="Times New Roman" w:hAnsi="Verdana" w:cs="Times New Roman"/>
          <w:i/>
          <w:iCs/>
          <w:color w:val="000000"/>
          <w:sz w:val="16"/>
          <w:szCs w:val="16"/>
          <w:lang w:eastAsia="es-ES"/>
        </w:rPr>
        <w:t>Se establece que no podrán resultar sujetos pasibles de percepción aquellos contribuyentes que distribuyan la mayor parte de sus ingresos mediante el régimen general de Convenio Multilateral cuando el coeficiente atribuible a la jurisdicción que pretende percibir sea inferior a 0,0050 (cero coma cincuenta diezmilésimos). </w:t>
      </w:r>
      <w:r w:rsidRPr="00BD4148">
        <w:rPr>
          <w:rFonts w:ascii="Verdana" w:eastAsia="Times New Roman" w:hAnsi="Verdana" w:cs="Times New Roman"/>
          <w:i/>
          <w:iCs/>
          <w:color w:val="000000"/>
          <w:sz w:val="16"/>
          <w:szCs w:val="16"/>
          <w:lang w:eastAsia="es-ES"/>
        </w:rPr>
        <w:br/>
      </w:r>
      <w:r w:rsidRPr="00D87844">
        <w:rPr>
          <w:rFonts w:ascii="Verdana" w:eastAsia="Times New Roman" w:hAnsi="Verdana" w:cs="Times New Roman"/>
          <w:i/>
          <w:iCs/>
          <w:color w:val="000000"/>
          <w:sz w:val="16"/>
          <w:szCs w:val="16"/>
          <w:lang w:eastAsia="es-ES"/>
        </w:rPr>
        <w:t>Para acreditar dicha situación se deberá exhibir copia de la última DDJJ CM05 exigible.</w:t>
      </w:r>
    </w:p>
    <w:tbl>
      <w:tblPr>
        <w:tblW w:w="184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31"/>
        <w:gridCol w:w="11764"/>
      </w:tblGrid>
      <w:tr w:rsidR="00BD4148" w:rsidRPr="00BD4148" w:rsidTr="00BD4148">
        <w:trPr>
          <w:trHeight w:val="225"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JURISDICCIÓN: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Nacional</w:t>
            </w:r>
          </w:p>
        </w:tc>
      </w:tr>
      <w:tr w:rsidR="00BD4148" w:rsidRPr="00BD4148" w:rsidTr="00BD4148">
        <w:trPr>
          <w:trHeight w:val="225"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ORGANISMO: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Com. Arbitral Convenio Multilateral</w:t>
            </w:r>
          </w:p>
        </w:tc>
      </w:tr>
      <w:tr w:rsidR="00BD4148" w:rsidRPr="00BD4148" w:rsidTr="00BD4148">
        <w:trPr>
          <w:trHeight w:val="225"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FECHA: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16/11/2016</w:t>
            </w:r>
          </w:p>
        </w:tc>
      </w:tr>
      <w:tr w:rsidR="00BD4148" w:rsidRPr="00BD4148" w:rsidTr="00BD4148">
        <w:trPr>
          <w:trHeight w:val="225"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BOL. OFICIAL: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05/12/2016</w:t>
            </w:r>
          </w:p>
        </w:tc>
      </w:tr>
      <w:tr w:rsidR="00BD4148" w:rsidRPr="00BD4148" w:rsidTr="00BD4148">
        <w:trPr>
          <w:trHeight w:val="225"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 </w:t>
            </w:r>
          </w:p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VIGENCIA DESDE: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 </w:t>
            </w:r>
          </w:p>
          <w:p w:rsidR="00BD4148" w:rsidRPr="00BD4148" w:rsidRDefault="00BD4148" w:rsidP="00BD4148">
            <w:pPr>
              <w:spacing w:after="0" w:line="240" w:lineRule="auto"/>
              <w:ind w:left="105" w:right="105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05/12/2016</w:t>
            </w:r>
          </w:p>
        </w:tc>
      </w:tr>
    </w:tbl>
    <w:p w:rsidR="00BD4148" w:rsidRPr="00BD4148" w:rsidRDefault="00BD4148" w:rsidP="00BD4148">
      <w:pPr>
        <w:pBdr>
          <w:top w:val="single" w:sz="6" w:space="7" w:color="000000"/>
        </w:pBdr>
        <w:spacing w:before="140" w:after="105" w:line="240" w:lineRule="auto"/>
        <w:ind w:left="105" w:right="10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</w:t>
      </w:r>
    </w:p>
    <w:tbl>
      <w:tblPr>
        <w:tblW w:w="26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5"/>
      </w:tblGrid>
      <w:tr w:rsidR="00BD4148" w:rsidRPr="00BD4148" w:rsidTr="00BD4148">
        <w:tc>
          <w:tcPr>
            <w:tcW w:w="0" w:type="auto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BD4148" w:rsidRPr="00BD4148" w:rsidRDefault="00BD4148" w:rsidP="00BD4148">
            <w:pPr>
              <w:spacing w:before="120" w:after="0" w:line="240" w:lineRule="auto"/>
              <w:ind w:left="105" w:right="105"/>
              <w:jc w:val="both"/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</w:pPr>
            <w:hyperlink r:id="rId4" w:anchor="textosegun" w:tgtFrame="_self" w:history="1">
              <w:r w:rsidRPr="00BD4148">
                <w:rPr>
                  <w:rFonts w:ascii="Verdana" w:eastAsia="Times New Roman" w:hAnsi="Verdana" w:cs="Times New Roman"/>
                  <w:color w:val="0000FF"/>
                  <w:sz w:val="16"/>
                  <w:szCs w:val="16"/>
                  <w:u w:val="single"/>
                  <w:lang w:eastAsia="es-ES"/>
                </w:rPr>
                <w:t>Análisis de la norma</w:t>
              </w:r>
            </w:hyperlink>
            <w:r w:rsidRPr="00BD4148">
              <w:rPr>
                <w:rFonts w:ascii="Verdana" w:eastAsia="Times New Roman" w:hAnsi="Verdana" w:cs="Times New Roman"/>
                <w:sz w:val="16"/>
                <w:szCs w:val="16"/>
                <w:lang w:eastAsia="es-ES"/>
              </w:rPr>
              <w:t> </w:t>
            </w:r>
          </w:p>
        </w:tc>
      </w:tr>
    </w:tbl>
    <w:p w:rsidR="00BD4148" w:rsidRPr="00BD4148" w:rsidRDefault="00BD4148" w:rsidP="00BD4148">
      <w:pPr>
        <w:pBdr>
          <w:bottom w:val="single" w:sz="6" w:space="10" w:color="000000"/>
        </w:pBdr>
        <w:spacing w:before="160" w:after="200" w:line="240" w:lineRule="auto"/>
        <w:ind w:left="105" w:right="105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</w:t>
      </w:r>
    </w:p>
    <w:p w:rsidR="00BD4148" w:rsidRPr="00BD4148" w:rsidRDefault="00BD4148" w:rsidP="00BD4148">
      <w:pPr>
        <w:spacing w:before="105" w:after="105" w:line="240" w:lineRule="auto"/>
        <w:ind w:left="105" w:right="105"/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</w:pPr>
      <w:r w:rsidRPr="00BD4148"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  <w:t> 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VISTO: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La </w:t>
      </w:r>
      <w:hyperlink r:id="rId5" w:tgtFrame="_blank" w:history="1">
        <w:r w:rsidRPr="00BD4148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es-ES"/>
          </w:rPr>
          <w:t>Resolución General C.A. N.° 4/2011</w:t>
        </w:r>
      </w:hyperlink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, incorporada al </w:t>
      </w:r>
      <w:hyperlink r:id="rId6" w:anchor="Articulo58" w:tgtFrame="_blank" w:history="1">
        <w:r w:rsidRPr="00BD4148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es-ES"/>
          </w:rPr>
          <w:t>artículo 58 del anexo de la Resolución General C.A. N.° 3/2016</w:t>
        </w:r>
      </w:hyperlink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; y,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CONSIDERANDO: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Que en virtud de la citada norma, se establecieron pautas respecto a los regímenes de recaudación (retención, percepción y/o retención bancaria) establecidos por las jurisdicciones adheridas para los contribuyentes comprendidos en el Convenio Multilateral.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Que es responsabilidad de este Organismo procurar que los mismos se ajusten a parámetros razonables, que no vulneren el objetivo primordial de evitar la doble o múltiple imposición.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Que al respecto se ha considerado conveniente realizar ajustes asociados a los requisitos aplicables al sujeto pasible de percepción.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Por ello,</w:t>
      </w:r>
    </w:p>
    <w:p w:rsidR="00BD4148" w:rsidRPr="00BD4148" w:rsidRDefault="00BD4148" w:rsidP="00BD4148">
      <w:pPr>
        <w:spacing w:before="200" w:after="100" w:line="240" w:lineRule="auto"/>
        <w:ind w:left="105" w:right="105"/>
        <w:jc w:val="center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LA COMISIÓN ARBITRAL</w:t>
      </w:r>
    </w:p>
    <w:p w:rsidR="00BD4148" w:rsidRPr="00BD4148" w:rsidRDefault="00BD4148" w:rsidP="00BD4148">
      <w:pPr>
        <w:spacing w:before="200" w:after="100" w:line="240" w:lineRule="auto"/>
        <w:ind w:left="105" w:right="105"/>
        <w:jc w:val="center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(CONVENIO MULTILATERAL DEL 18/8/1977)</w:t>
      </w:r>
    </w:p>
    <w:p w:rsidR="00BD4148" w:rsidRPr="00BD4148" w:rsidRDefault="00BD4148" w:rsidP="00BD4148">
      <w:pPr>
        <w:spacing w:before="200" w:after="100" w:line="240" w:lineRule="auto"/>
        <w:ind w:left="105" w:right="105"/>
        <w:jc w:val="center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RESUELVE: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000000"/>
          <w:sz w:val="16"/>
          <w:szCs w:val="16"/>
          <w:lang w:eastAsia="es-ES"/>
        </w:rPr>
        <w:t>Art. 1 -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Sustituir el texto del </w:t>
      </w:r>
      <w:hyperlink r:id="rId7" w:anchor="Articulo1IncBPto2" w:tgtFrame="_blank" w:history="1">
        <w:r w:rsidRPr="00BD4148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es-ES"/>
          </w:rPr>
          <w:t>punto 2, inciso b), artículo 1 de la resolución general 61/1995</w:t>
        </w:r>
      </w:hyperlink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, modificado por las </w:t>
      </w:r>
      <w:hyperlink r:id="rId8" w:tgtFrame="_blank" w:history="1">
        <w:r w:rsidRPr="00BD4148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es-ES"/>
          </w:rPr>
          <w:t>resoluciones generales 3/2010</w:t>
        </w:r>
      </w:hyperlink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y </w:t>
      </w:r>
      <w:hyperlink r:id="rId9" w:tgtFrame="_blank" w:history="1">
        <w:r w:rsidRPr="00BD4148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es-ES"/>
          </w:rPr>
          <w:t>4/2011</w:t>
        </w:r>
      </w:hyperlink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y sus complementarias, por el siguiente:</w:t>
      </w:r>
    </w:p>
    <w:p w:rsidR="00BD4148" w:rsidRPr="00BD4148" w:rsidRDefault="00BD4148" w:rsidP="00BD4148">
      <w:pPr>
        <w:spacing w:before="80" w:after="0" w:line="240" w:lineRule="auto"/>
        <w:ind w:left="27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“2. Podrán resultar sujetos pasibles de percepción aquellos contribuyentes que cumplan con alguna de las siguientes situaciones:</w:t>
      </w:r>
    </w:p>
    <w:p w:rsidR="00BD4148" w:rsidRPr="00BD4148" w:rsidRDefault="00BD4148" w:rsidP="00BD4148">
      <w:pPr>
        <w:spacing w:before="80" w:after="0" w:line="240" w:lineRule="auto"/>
        <w:ind w:left="54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i) contribuyentes inscriptos en el régimen del Convenio Multilateral e incorporado a la jurisdicción respectiva;</w:t>
      </w:r>
    </w:p>
    <w:p w:rsidR="00BD4148" w:rsidRPr="00BD4148" w:rsidRDefault="00BD4148" w:rsidP="00BD4148">
      <w:pPr>
        <w:spacing w:before="80" w:after="0" w:line="240" w:lineRule="auto"/>
        <w:ind w:left="54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ii) contribuyentes inscriptos en el régimen del Convenio Multilateral, que sin estar inscripto en la jurisdicción respectiva, evidencien su calidad de tal por las declaraciones juradas presentadas;</w:t>
      </w:r>
    </w:p>
    <w:p w:rsidR="00BD4148" w:rsidRPr="00BD4148" w:rsidRDefault="00BD4148" w:rsidP="00BD4148">
      <w:pPr>
        <w:spacing w:before="80" w:after="0" w:line="240" w:lineRule="auto"/>
        <w:ind w:left="54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iii) demás contribuyentes no mencionados en los casos anteriores, excepto que se trate de:</w:t>
      </w:r>
    </w:p>
    <w:p w:rsidR="00BD4148" w:rsidRPr="00BD4148" w:rsidRDefault="00BD4148" w:rsidP="00BD4148">
      <w:pPr>
        <w:spacing w:before="80" w:after="0" w:line="240" w:lineRule="auto"/>
        <w:ind w:left="81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 xml:space="preserve">a. 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Contribuyente local inscripto exclusivamente en una jurisdicción distinta a la que pretende aplicar el régimen de percepción</w:t>
      </w:r>
      <w:r w:rsidR="003842D3" w:rsidRPr="003842D3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 xml:space="preserve"> (</w:t>
      </w:r>
      <w:r w:rsidR="003842D3" w:rsidRPr="003842D3">
        <w:rPr>
          <w:rFonts w:ascii="Verdana" w:eastAsia="Times New Roman" w:hAnsi="Verdana" w:cs="Times New Roman"/>
          <w:b/>
          <w:color w:val="000000"/>
          <w:sz w:val="16"/>
          <w:szCs w:val="16"/>
          <w:highlight w:val="yellow"/>
          <w:lang w:eastAsia="es-ES"/>
        </w:rPr>
        <w:t>No Inscripto</w:t>
      </w:r>
      <w:r w:rsidR="00323D31">
        <w:rPr>
          <w:rFonts w:ascii="Verdana" w:eastAsia="Times New Roman" w:hAnsi="Verdana" w:cs="Times New Roman"/>
          <w:b/>
          <w:color w:val="000000"/>
          <w:sz w:val="16"/>
          <w:szCs w:val="16"/>
          <w:highlight w:val="yellow"/>
          <w:lang w:eastAsia="es-ES"/>
        </w:rPr>
        <w:t xml:space="preserve"> en la jurisdicción</w:t>
      </w:r>
      <w:r w:rsidR="003842D3" w:rsidRPr="003842D3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)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;</w:t>
      </w:r>
    </w:p>
    <w:p w:rsidR="00BD4148" w:rsidRPr="00BD4148" w:rsidRDefault="00BD4148" w:rsidP="00BD4148">
      <w:pPr>
        <w:spacing w:before="80" w:after="0" w:line="240" w:lineRule="auto"/>
        <w:ind w:left="81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lastRenderedPageBreak/>
        <w:t xml:space="preserve">b. 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Contribuyente de Convenio Multilateral que no tenga incorporada la jurisdicción por la cual se pretende aplicar el régimen de percepción</w:t>
      </w:r>
      <w:r w:rsidR="003842D3" w:rsidRPr="003842D3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 xml:space="preserve"> (</w:t>
      </w:r>
      <w:r w:rsidR="003842D3" w:rsidRPr="003842D3">
        <w:rPr>
          <w:rFonts w:ascii="Verdana" w:eastAsia="Times New Roman" w:hAnsi="Verdana" w:cs="Times New Roman"/>
          <w:b/>
          <w:color w:val="000000"/>
          <w:sz w:val="16"/>
          <w:szCs w:val="16"/>
          <w:highlight w:val="yellow"/>
          <w:lang w:eastAsia="es-ES"/>
        </w:rPr>
        <w:t>No Inscripto</w:t>
      </w:r>
      <w:r w:rsidR="00323D31">
        <w:rPr>
          <w:rFonts w:ascii="Verdana" w:eastAsia="Times New Roman" w:hAnsi="Verdana" w:cs="Times New Roman"/>
          <w:b/>
          <w:color w:val="000000"/>
          <w:sz w:val="16"/>
          <w:szCs w:val="16"/>
          <w:highlight w:val="yellow"/>
          <w:lang w:eastAsia="es-ES"/>
        </w:rPr>
        <w:t xml:space="preserve"> en la jurisdicción</w:t>
      </w:r>
      <w:bookmarkStart w:id="0" w:name="_GoBack"/>
      <w:bookmarkEnd w:id="0"/>
      <w:r w:rsidR="003842D3" w:rsidRPr="003842D3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)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;</w:t>
      </w:r>
    </w:p>
    <w:p w:rsidR="00BD4148" w:rsidRPr="00BD4148" w:rsidRDefault="00BD4148" w:rsidP="00BD4148">
      <w:pPr>
        <w:spacing w:before="80" w:after="0" w:line="240" w:lineRule="auto"/>
        <w:ind w:left="810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 xml:space="preserve">c. 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 xml:space="preserve">Contribuyente que distribuya la mayor parte de sus ingresos mediante el Régimen General del Convenio Multilateral, cuando el coeficiente del sujeto pasible de percepción atribuible a la jurisdicción, sea inferior a 0,0050 (cero coma cincuenta diezmilésimos). 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highlight w:val="yellow"/>
          <w:u w:val="single"/>
          <w:lang w:eastAsia="es-ES"/>
        </w:rPr>
        <w:t>A dichos fines, el sujeto pasible de percepción deberá exhibir copia de la última declaración jurada exigible (Formulario CM05)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”</w:t>
      </w:r>
      <w:r w:rsidR="003842D3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 xml:space="preserve"> (</w:t>
      </w:r>
      <w:r w:rsidR="003842D3" w:rsidRPr="003842D3">
        <w:rPr>
          <w:rFonts w:ascii="Verdana" w:eastAsia="Times New Roman" w:hAnsi="Verdana" w:cs="Times New Roman"/>
          <w:b/>
          <w:color w:val="000000"/>
          <w:sz w:val="16"/>
          <w:szCs w:val="16"/>
          <w:highlight w:val="yellow"/>
          <w:lang w:eastAsia="es-ES"/>
        </w:rPr>
        <w:t>Exento</w:t>
      </w:r>
      <w:r w:rsidR="003842D3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)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highlight w:val="yellow"/>
          <w:lang w:eastAsia="es-ES"/>
        </w:rPr>
        <w:t>.</w:t>
      </w:r>
    </w:p>
    <w:p w:rsidR="00BD4148" w:rsidRPr="00BD4148" w:rsidRDefault="00BD4148" w:rsidP="00BD4148">
      <w:pPr>
        <w:spacing w:before="80" w:after="0" w:line="240" w:lineRule="auto"/>
        <w:ind w:left="105" w:right="105" w:firstLine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000000"/>
          <w:sz w:val="16"/>
          <w:szCs w:val="16"/>
          <w:lang w:eastAsia="es-ES"/>
        </w:rPr>
        <w:t>Art. 2 -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De forma.</w:t>
      </w:r>
    </w:p>
    <w:p w:rsidR="00BD4148" w:rsidRPr="00BD4148" w:rsidRDefault="00BD4148" w:rsidP="00BD4148">
      <w:pPr>
        <w:spacing w:before="120" w:after="0" w:line="240" w:lineRule="auto"/>
        <w:ind w:left="105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bookmarkStart w:id="1" w:name="textosegun"/>
      <w:bookmarkEnd w:id="1"/>
      <w:r w:rsidRPr="00BD4148">
        <w:rPr>
          <w:rFonts w:ascii="Verdana" w:eastAsia="Times New Roman" w:hAnsi="Verdana" w:cs="Times New Roman"/>
          <w:b/>
          <w:bCs/>
          <w:color w:val="000000"/>
          <w:sz w:val="16"/>
          <w:szCs w:val="16"/>
          <w:lang w:eastAsia="es-ES"/>
        </w:rPr>
        <w:t>TEXTO S/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RG (CA) 24/2016 - </w:t>
      </w:r>
      <w:r w:rsidRPr="00BD4148">
        <w:rPr>
          <w:rFonts w:ascii="Verdana" w:eastAsia="Times New Roman" w:hAnsi="Verdana" w:cs="Times New Roman"/>
          <w:b/>
          <w:bCs/>
          <w:color w:val="000000"/>
          <w:sz w:val="16"/>
          <w:szCs w:val="16"/>
          <w:lang w:eastAsia="es-ES"/>
        </w:rPr>
        <w:t>BO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: 5/12/2016</w:t>
      </w:r>
    </w:p>
    <w:p w:rsidR="00BD4148" w:rsidRPr="00BD4148" w:rsidRDefault="00BD4148" w:rsidP="00BD4148">
      <w:pPr>
        <w:spacing w:before="120" w:after="0" w:line="240" w:lineRule="auto"/>
        <w:ind w:left="105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000000"/>
          <w:sz w:val="16"/>
          <w:szCs w:val="16"/>
          <w:lang w:eastAsia="es-ES"/>
        </w:rPr>
        <w:t>FUENTE:</w:t>
      </w: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 RG (CA) 24/2016</w:t>
      </w:r>
    </w:p>
    <w:p w:rsidR="00BD4148" w:rsidRPr="00BD4148" w:rsidRDefault="00BD4148" w:rsidP="00BD4148">
      <w:pPr>
        <w:shd w:val="clear" w:color="auto" w:fill="000000"/>
        <w:spacing w:before="120" w:after="100" w:afterAutospacing="1" w:line="240" w:lineRule="auto"/>
        <w:ind w:left="105" w:right="105"/>
        <w:rPr>
          <w:rFonts w:ascii="Verdana" w:eastAsia="Times New Roman" w:hAnsi="Verdana" w:cs="Times New Roman"/>
          <w:b/>
          <w:bCs/>
          <w:color w:val="FFFFFF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b/>
          <w:bCs/>
          <w:color w:val="FFFFFF"/>
          <w:sz w:val="16"/>
          <w:szCs w:val="16"/>
          <w:lang w:eastAsia="es-ES"/>
        </w:rPr>
        <w:t>VIGENCIA Y APLICACIÓN</w:t>
      </w:r>
    </w:p>
    <w:p w:rsidR="00BD4148" w:rsidRPr="00BD4148" w:rsidRDefault="00BD4148" w:rsidP="00BD4148">
      <w:pPr>
        <w:spacing w:before="120" w:after="0" w:line="240" w:lineRule="auto"/>
        <w:ind w:left="105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Vigencia: 5/12/2016</w:t>
      </w:r>
    </w:p>
    <w:p w:rsidR="00BD4148" w:rsidRPr="00BD4148" w:rsidRDefault="00BD4148" w:rsidP="00BD4148">
      <w:pPr>
        <w:spacing w:before="120" w:after="0" w:line="240" w:lineRule="auto"/>
        <w:ind w:left="105" w:right="105"/>
        <w:jc w:val="both"/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</w:pPr>
      <w:r w:rsidRPr="00BD4148">
        <w:rPr>
          <w:rFonts w:ascii="Verdana" w:eastAsia="Times New Roman" w:hAnsi="Verdana" w:cs="Times New Roman"/>
          <w:color w:val="000000"/>
          <w:sz w:val="16"/>
          <w:szCs w:val="16"/>
          <w:lang w:eastAsia="es-ES"/>
        </w:rPr>
        <w:t>Aplicación: desde el 14/12/2016</w:t>
      </w:r>
    </w:p>
    <w:p w:rsidR="00BD4148" w:rsidRPr="00BD4148" w:rsidRDefault="00BD4148" w:rsidP="00BD4148">
      <w:pPr>
        <w:spacing w:before="105" w:after="105" w:line="240" w:lineRule="auto"/>
        <w:ind w:left="105" w:right="105"/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</w:pPr>
      <w:r w:rsidRPr="00BD4148"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  <w:t> </w:t>
      </w:r>
    </w:p>
    <w:p w:rsidR="00BD4148" w:rsidRPr="00BD4148" w:rsidRDefault="00BD4148" w:rsidP="00BD4148">
      <w:pPr>
        <w:spacing w:after="0" w:line="240" w:lineRule="auto"/>
        <w:jc w:val="right"/>
        <w:rPr>
          <w:rFonts w:ascii="Verdana" w:eastAsia="Times New Roman" w:hAnsi="Verdana" w:cs="Times New Roman"/>
          <w:color w:val="7F7F7F"/>
          <w:sz w:val="18"/>
          <w:szCs w:val="18"/>
          <w:lang w:eastAsia="es-ES"/>
        </w:rPr>
      </w:pPr>
      <w:r w:rsidRPr="00BD4148">
        <w:rPr>
          <w:rFonts w:ascii="Verdana" w:eastAsia="Times New Roman" w:hAnsi="Verdana" w:cs="Times New Roman"/>
          <w:color w:val="7F7F7F"/>
          <w:sz w:val="18"/>
          <w:szCs w:val="18"/>
          <w:lang w:eastAsia="es-ES"/>
        </w:rPr>
        <w:pict>
          <v:rect id="_x0000_i1025" style="width:0;height:1.5pt" o:hralign="center" o:hrstd="t" o:hr="t" fillcolor="#a0a0a0" stroked="f"/>
        </w:pict>
      </w:r>
    </w:p>
    <w:p w:rsidR="00BD4148" w:rsidRPr="00BD4148" w:rsidRDefault="00BD4148" w:rsidP="00BD4148">
      <w:pPr>
        <w:spacing w:after="0" w:line="240" w:lineRule="auto"/>
        <w:jc w:val="right"/>
        <w:rPr>
          <w:rFonts w:ascii="Verdana" w:eastAsia="Times New Roman" w:hAnsi="Verdana" w:cs="Times New Roman"/>
          <w:color w:val="7F7F7F"/>
          <w:sz w:val="18"/>
          <w:szCs w:val="18"/>
          <w:lang w:eastAsia="es-ES"/>
        </w:rPr>
      </w:pPr>
      <w:r w:rsidRPr="00BD4148">
        <w:rPr>
          <w:rFonts w:ascii="Verdana" w:eastAsia="Times New Roman" w:hAnsi="Verdana" w:cs="Times New Roman"/>
          <w:color w:val="7F7F7F"/>
          <w:sz w:val="18"/>
          <w:szCs w:val="18"/>
          <w:lang w:eastAsia="es-ES"/>
        </w:rPr>
        <w:t>Editorial Errepar - Todos los derechos reservados.</w:t>
      </w:r>
    </w:p>
    <w:p w:rsidR="00876F26" w:rsidRDefault="00876F26"/>
    <w:sectPr w:rsidR="00876F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148"/>
    <w:rsid w:val="00323D31"/>
    <w:rsid w:val="003842D3"/>
    <w:rsid w:val="00876F26"/>
    <w:rsid w:val="00BD4148"/>
    <w:rsid w:val="00D87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9A2B8D-3FDA-41E1-8F7C-025CF6F4B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rrepar11-tipo-norma">
    <w:name w:val="errepar_11-tipo-norma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apple-converted-space">
    <w:name w:val="apple-converted-space"/>
    <w:basedOn w:val="Fuentedeprrafopredeter"/>
    <w:rsid w:val="00BD4148"/>
  </w:style>
  <w:style w:type="paragraph" w:customStyle="1" w:styleId="encabezadonovedades">
    <w:name w:val="encabezado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lineanueva">
    <w:name w:val="lineanueva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egritanovedades">
    <w:name w:val="negritanovedades"/>
    <w:basedOn w:val="Fuentedeprrafopredeter"/>
    <w:rsid w:val="00BD4148"/>
  </w:style>
  <w:style w:type="character" w:customStyle="1" w:styleId="sumarionovedades">
    <w:name w:val="sumarionovedades"/>
    <w:basedOn w:val="Fuentedeprrafopredeter"/>
    <w:rsid w:val="00BD4148"/>
  </w:style>
  <w:style w:type="paragraph" w:customStyle="1" w:styleId="rotulonovedades">
    <w:name w:val="rotulo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textonovedades">
    <w:name w:val="texto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hipervnculo">
    <w:name w:val="hipervnculo"/>
    <w:basedOn w:val="Fuentedeprrafopredeter"/>
    <w:rsid w:val="00BD4148"/>
  </w:style>
  <w:style w:type="paragraph" w:customStyle="1" w:styleId="vistoyconsiderando">
    <w:name w:val="vistoyconsiderando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textocentradonovedades">
    <w:name w:val="textocentrado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sangrianovedades">
    <w:name w:val="sangria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errepar1erfrancesnovedades">
    <w:name w:val="errepar_1erfrances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errepar2dofrancesnovedades">
    <w:name w:val="errepar_2dofrances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errepar3erfrancesnovedades">
    <w:name w:val="errepar_3erfrancesnovedade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analisis">
    <w:name w:val="analisis"/>
    <w:basedOn w:val="Normal"/>
    <w:rsid w:val="00BD4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121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04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olgestion.errepar.com/sitios/eolgestion/Legislacion/20110807085215660.docx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eolgestion.errepar.com/sitios/eolgestion/Legislacion/20110807085218161.docx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olgestion.errepar.com/sitios/eolgestion/Legislacion/20160426072433333.docx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eolgestion.errepar.com/sitios/eolgestion/Legislacion/20111025075859336.docx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eol.errepar.com/sitios/ver/html/20161205071922339.html" TargetMode="External"/><Relationship Id="rId9" Type="http://schemas.openxmlformats.org/officeDocument/2006/relationships/hyperlink" Target="http://eolgestion.errepar.com/sitios/eolgestion/Legislacion/20111025075859336.docxhtm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618</Words>
  <Characters>3399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 S.A.</Company>
  <LinksUpToDate>false</LinksUpToDate>
  <CharactersWithSpaces>4009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Moreno</dc:creator>
  <cp:keywords/>
  <dc:description/>
  <cp:lastModifiedBy>Juan Jose Moreno</cp:lastModifiedBy>
  <cp:revision>4</cp:revision>
  <dcterms:created xsi:type="dcterms:W3CDTF">2016-12-07T14:46:00Z</dcterms:created>
  <dcterms:modified xsi:type="dcterms:W3CDTF">2016-12-07T14:57:00Z</dcterms:modified>
</cp:coreProperties>
</file>