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42C5" w:rsidRPr="00D442C5" w:rsidRDefault="00D442C5" w:rsidP="00D442C5">
      <w:pPr>
        <w:pBdr>
          <w:top w:val="single" w:sz="6" w:space="0" w:color="000000"/>
        </w:pBdr>
        <w:spacing w:before="200" w:after="0" w:line="240" w:lineRule="auto"/>
        <w:ind w:left="105" w:right="105"/>
        <w:rPr>
          <w:rFonts w:ascii="Verdana" w:eastAsia="Times New Roman" w:hAnsi="Verdana" w:cs="Times New Roman"/>
          <w:b/>
          <w:bCs/>
          <w:sz w:val="28"/>
          <w:szCs w:val="28"/>
          <w:lang w:eastAsia="es-ES"/>
        </w:rPr>
      </w:pPr>
      <w:r w:rsidRPr="00D442C5">
        <w:rPr>
          <w:rFonts w:ascii="Verdana" w:eastAsia="Times New Roman" w:hAnsi="Verdana" w:cs="Times New Roman"/>
          <w:b/>
          <w:bCs/>
          <w:sz w:val="28"/>
          <w:szCs w:val="28"/>
          <w:lang w:eastAsia="es-ES"/>
        </w:rPr>
        <w:t xml:space="preserve">RESOLUCIÓN GENERAL (CA) 3/2015 </w:t>
      </w:r>
      <w:r w:rsidRPr="00D442C5">
        <w:rPr>
          <w:rFonts w:ascii="Verdana" w:eastAsia="Times New Roman" w:hAnsi="Verdana" w:cs="Times New Roman"/>
          <w:b/>
          <w:bCs/>
          <w:noProof/>
          <w:sz w:val="28"/>
          <w:szCs w:val="28"/>
          <w:lang w:eastAsia="es-ES"/>
        </w:rPr>
        <w:drawing>
          <wp:inline distT="0" distB="0" distL="0" distR="0" wp14:anchorId="387A6DAC" wp14:editId="4BCE3BB9">
            <wp:extent cx="171450" cy="158750"/>
            <wp:effectExtent l="0" t="0" r="0" b="0"/>
            <wp:docPr id="3" name="Imagen 3" descr="http://eol.errepar.com/sitios/ver/Img/20150728081343118/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ol.errepar.com/sitios/ver/Img/20150728081343118/image1.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1450" cy="158750"/>
                    </a:xfrm>
                    <a:prstGeom prst="rect">
                      <a:avLst/>
                    </a:prstGeom>
                    <a:noFill/>
                    <a:ln>
                      <a:noFill/>
                    </a:ln>
                  </pic:spPr>
                </pic:pic>
              </a:graphicData>
            </a:graphic>
          </wp:inline>
        </w:drawing>
      </w:r>
    </w:p>
    <w:p w:rsidR="00D442C5" w:rsidRPr="00D442C5" w:rsidRDefault="00D442C5" w:rsidP="00D442C5">
      <w:pPr>
        <w:spacing w:before="100" w:after="120" w:line="240" w:lineRule="auto"/>
        <w:ind w:left="105" w:right="105"/>
        <w:jc w:val="both"/>
        <w:rPr>
          <w:rFonts w:ascii="Verdana" w:eastAsia="Times New Roman" w:hAnsi="Verdana" w:cs="Times New Roman"/>
          <w:b/>
          <w:bCs/>
          <w:sz w:val="20"/>
          <w:szCs w:val="20"/>
          <w:lang w:eastAsia="es-ES"/>
        </w:rPr>
      </w:pPr>
      <w:r w:rsidRPr="00D442C5">
        <w:rPr>
          <w:rFonts w:ascii="Verdana" w:eastAsia="Times New Roman" w:hAnsi="Verdana" w:cs="Times New Roman"/>
          <w:b/>
          <w:bCs/>
          <w:sz w:val="20"/>
          <w:szCs w:val="20"/>
          <w:lang w:eastAsia="es-ES"/>
        </w:rPr>
        <w:t>Se identificará a los contribuyentes con el número de CUIT a partir del 1/11/2015</w:t>
      </w:r>
    </w:p>
    <w:p w:rsidR="00D442C5" w:rsidRPr="00D442C5" w:rsidRDefault="00D442C5" w:rsidP="00D442C5">
      <w:pPr>
        <w:pBdr>
          <w:bottom w:val="single" w:sz="6" w:space="10" w:color="000000"/>
        </w:pBdr>
        <w:spacing w:before="160" w:after="20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t xml:space="preserve">SUMARIO: </w:t>
      </w:r>
      <w:r w:rsidRPr="00D442C5">
        <w:rPr>
          <w:rFonts w:ascii="Verdana" w:eastAsia="Times New Roman" w:hAnsi="Verdana" w:cs="Times New Roman"/>
          <w:i/>
          <w:iCs/>
          <w:sz w:val="16"/>
          <w:szCs w:val="16"/>
          <w:lang w:eastAsia="es-ES"/>
        </w:rPr>
        <w:t xml:space="preserve">Se establece que a partir del 1/11/2015 los contribuyentes del impuesto sobre los ingresos brutos que tributen bajo el régimen de Convenio Multilateral serán identificados con el número de CUIT y deberán considerar también los dígitos asignados a cada jurisdicción sede que se asignan entre 901 y 924. </w:t>
      </w:r>
      <w:r w:rsidRPr="00D442C5">
        <w:rPr>
          <w:rFonts w:ascii="Verdana" w:eastAsia="Times New Roman" w:hAnsi="Verdana" w:cs="Times New Roman"/>
          <w:i/>
          <w:iCs/>
          <w:sz w:val="16"/>
          <w:szCs w:val="16"/>
          <w:lang w:eastAsia="es-ES"/>
        </w:rPr>
        <w:br/>
        <w:t>Destacamos que todos aquellos contribuyentes que hayan obtenido su número de inscripción ante el Convenio Multilateral con anterioridad al 1/11/2015 serán identificados de oficio dentro del sistema Padrón Web con el número de CUIT junto a los dígitos que identifican su jurisdicción sede.</w:t>
      </w:r>
      <w:r w:rsidRPr="00D442C5">
        <w:rPr>
          <w:rFonts w:ascii="Verdana" w:eastAsia="Times New Roman" w:hAnsi="Verdana" w:cs="Times New Roman"/>
          <w:sz w:val="16"/>
          <w:szCs w:val="16"/>
          <w:lang w:eastAsia="es-ES"/>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3095"/>
        <w:gridCol w:w="5409"/>
      </w:tblGrid>
      <w:tr w:rsidR="00D442C5" w:rsidRPr="00D442C5" w:rsidTr="00D442C5">
        <w:trPr>
          <w:trHeight w:val="225"/>
        </w:trPr>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bookmarkStart w:id="0" w:name="_GoBack"/>
            <w:bookmarkEnd w:id="0"/>
            <w:r w:rsidRPr="00D442C5">
              <w:rPr>
                <w:rFonts w:ascii="Verdana" w:eastAsia="Times New Roman" w:hAnsi="Verdana" w:cs="Times New Roman"/>
                <w:sz w:val="16"/>
                <w:szCs w:val="16"/>
                <w:lang w:eastAsia="es-ES"/>
              </w:rPr>
              <w:t>JURISDICCIÓN:</w:t>
            </w:r>
          </w:p>
        </w:tc>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Nacional</w:t>
            </w:r>
          </w:p>
        </w:tc>
      </w:tr>
      <w:tr w:rsidR="00D442C5" w:rsidRPr="00D442C5" w:rsidTr="00D442C5">
        <w:trPr>
          <w:trHeight w:val="225"/>
        </w:trPr>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ORGANISMO:</w:t>
            </w:r>
          </w:p>
        </w:tc>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Com. Arbitral Convenio Multilateral</w:t>
            </w:r>
          </w:p>
        </w:tc>
      </w:tr>
      <w:tr w:rsidR="00D442C5" w:rsidRPr="00D442C5" w:rsidTr="00D442C5">
        <w:trPr>
          <w:trHeight w:val="225"/>
        </w:trPr>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FECHA:</w:t>
            </w:r>
          </w:p>
        </w:tc>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15/07/2015</w:t>
            </w:r>
          </w:p>
        </w:tc>
      </w:tr>
      <w:tr w:rsidR="00D442C5" w:rsidRPr="00D442C5" w:rsidTr="00D442C5">
        <w:trPr>
          <w:trHeight w:val="225"/>
        </w:trPr>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BOL. OFICIAL:</w:t>
            </w:r>
          </w:p>
        </w:tc>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28/07/2015</w:t>
            </w:r>
          </w:p>
        </w:tc>
      </w:tr>
      <w:tr w:rsidR="00D442C5" w:rsidRPr="00D442C5" w:rsidTr="00D442C5">
        <w:trPr>
          <w:trHeight w:val="225"/>
        </w:trPr>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 </w:t>
            </w:r>
          </w:p>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VIGENCIA DESDE:</w:t>
            </w:r>
          </w:p>
        </w:tc>
        <w:tc>
          <w:tcPr>
            <w:tcW w:w="0" w:type="auto"/>
            <w:tcMar>
              <w:top w:w="30" w:type="dxa"/>
              <w:left w:w="30" w:type="dxa"/>
              <w:bottom w:w="30" w:type="dxa"/>
              <w:right w:w="30"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 </w:t>
            </w:r>
          </w:p>
          <w:p w:rsidR="00D442C5" w:rsidRPr="00D442C5" w:rsidRDefault="00D442C5" w:rsidP="00D442C5">
            <w:pPr>
              <w:spacing w:after="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28/07/2015</w:t>
            </w:r>
          </w:p>
        </w:tc>
      </w:tr>
    </w:tbl>
    <w:p w:rsidR="00D442C5" w:rsidRPr="00D442C5" w:rsidRDefault="00D442C5" w:rsidP="00D442C5">
      <w:pPr>
        <w:pBdr>
          <w:top w:val="single" w:sz="6" w:space="7" w:color="000000"/>
        </w:pBdr>
        <w:spacing w:before="140" w:after="105" w:line="240" w:lineRule="auto"/>
        <w:ind w:left="105" w:right="105"/>
        <w:jc w:val="both"/>
        <w:rPr>
          <w:rFonts w:ascii="Times New Roman" w:eastAsia="Times New Roman" w:hAnsi="Times New Roman" w:cs="Times New Roman"/>
          <w:sz w:val="24"/>
          <w:szCs w:val="24"/>
          <w:lang w:eastAsia="es-ES"/>
        </w:rPr>
      </w:pPr>
      <w:r w:rsidRPr="00D442C5">
        <w:rPr>
          <w:rFonts w:ascii="Verdana" w:eastAsia="Times New Roman" w:hAnsi="Verdana" w:cs="Times New Roman"/>
          <w:sz w:val="16"/>
          <w:szCs w:val="16"/>
          <w:lang w:eastAsia="es-ES"/>
        </w:rPr>
        <w:t> </w:t>
      </w:r>
    </w:p>
    <w:tbl>
      <w:tblPr>
        <w:tblW w:w="5670" w:type="dxa"/>
        <w:tblCellMar>
          <w:top w:w="15" w:type="dxa"/>
          <w:left w:w="15" w:type="dxa"/>
          <w:bottom w:w="15" w:type="dxa"/>
          <w:right w:w="15" w:type="dxa"/>
        </w:tblCellMar>
        <w:tblLook w:val="04A0" w:firstRow="1" w:lastRow="0" w:firstColumn="1" w:lastColumn="0" w:noHBand="0" w:noVBand="1"/>
      </w:tblPr>
      <w:tblGrid>
        <w:gridCol w:w="3791"/>
        <w:gridCol w:w="1879"/>
      </w:tblGrid>
      <w:tr w:rsidR="00D442C5" w:rsidRPr="00D442C5" w:rsidTr="00D442C5">
        <w:tc>
          <w:tcPr>
            <w:tcW w:w="0" w:type="auto"/>
            <w:tcMar>
              <w:top w:w="90" w:type="dxa"/>
              <w:left w:w="90" w:type="dxa"/>
              <w:bottom w:w="90" w:type="dxa"/>
              <w:right w:w="90" w:type="dxa"/>
            </w:tcMar>
            <w:hideMark/>
          </w:tcPr>
          <w:p w:rsidR="00D442C5" w:rsidRPr="00D442C5" w:rsidRDefault="00D442C5" w:rsidP="00D442C5">
            <w:pPr>
              <w:spacing w:before="120" w:after="0" w:line="240" w:lineRule="auto"/>
              <w:ind w:left="105" w:right="105"/>
              <w:jc w:val="both"/>
              <w:rPr>
                <w:rFonts w:ascii="Verdana" w:eastAsia="Times New Roman" w:hAnsi="Verdana" w:cs="Times New Roman"/>
                <w:sz w:val="16"/>
                <w:szCs w:val="16"/>
                <w:lang w:eastAsia="es-ES"/>
              </w:rPr>
            </w:pPr>
            <w:hyperlink r:id="rId6" w:anchor="textosegun" w:tgtFrame="_self" w:history="1">
              <w:r w:rsidRPr="00D442C5">
                <w:rPr>
                  <w:rFonts w:ascii="Verdana" w:eastAsia="Times New Roman" w:hAnsi="Verdana" w:cs="Times New Roman"/>
                  <w:color w:val="0000FF"/>
                  <w:sz w:val="16"/>
                  <w:szCs w:val="16"/>
                  <w:u w:val="single"/>
                  <w:lang w:eastAsia="es-ES"/>
                </w:rPr>
                <w:t>Análisis de la norma</w:t>
              </w:r>
            </w:hyperlink>
            <w:r w:rsidRPr="00D442C5">
              <w:rPr>
                <w:rFonts w:ascii="Verdana" w:eastAsia="Times New Roman" w:hAnsi="Verdana" w:cs="Times New Roman"/>
                <w:sz w:val="16"/>
                <w:szCs w:val="16"/>
                <w:lang w:eastAsia="es-ES"/>
              </w:rPr>
              <w:t> </w:t>
            </w:r>
          </w:p>
        </w:tc>
        <w:tc>
          <w:tcPr>
            <w:tcW w:w="0" w:type="auto"/>
            <w:tcMar>
              <w:top w:w="90" w:type="dxa"/>
              <w:left w:w="90" w:type="dxa"/>
              <w:bottom w:w="90" w:type="dxa"/>
              <w:right w:w="90" w:type="dxa"/>
            </w:tcMar>
            <w:hideMark/>
          </w:tcPr>
          <w:p w:rsidR="00D442C5" w:rsidRPr="00D442C5" w:rsidRDefault="00D442C5" w:rsidP="00D442C5">
            <w:pPr>
              <w:spacing w:before="120" w:after="0" w:line="240" w:lineRule="auto"/>
              <w:ind w:left="105" w:right="105"/>
              <w:jc w:val="both"/>
              <w:rPr>
                <w:rFonts w:ascii="Verdana" w:eastAsia="Times New Roman" w:hAnsi="Verdana" w:cs="Times New Roman"/>
                <w:sz w:val="16"/>
                <w:szCs w:val="16"/>
                <w:lang w:eastAsia="es-ES"/>
              </w:rPr>
            </w:pPr>
            <w:hyperlink r:id="rId7" w:anchor="ANEXO" w:tgtFrame="_self" w:history="1">
              <w:r w:rsidRPr="00D442C5">
                <w:rPr>
                  <w:rFonts w:ascii="Verdana" w:eastAsia="Times New Roman" w:hAnsi="Verdana" w:cs="Times New Roman"/>
                  <w:color w:val="0000FF"/>
                  <w:sz w:val="16"/>
                  <w:szCs w:val="16"/>
                  <w:u w:val="single"/>
                  <w:lang w:eastAsia="es-ES"/>
                </w:rPr>
                <w:t>Anexos</w:t>
              </w:r>
            </w:hyperlink>
            <w:r w:rsidRPr="00D442C5">
              <w:rPr>
                <w:rFonts w:ascii="Verdana" w:eastAsia="Times New Roman" w:hAnsi="Verdana" w:cs="Times New Roman"/>
                <w:sz w:val="16"/>
                <w:szCs w:val="16"/>
                <w:lang w:eastAsia="es-ES"/>
              </w:rPr>
              <w:t> </w:t>
            </w:r>
          </w:p>
        </w:tc>
      </w:tr>
    </w:tbl>
    <w:p w:rsidR="00D442C5" w:rsidRPr="00D442C5" w:rsidRDefault="00D442C5" w:rsidP="00D442C5">
      <w:pPr>
        <w:pBdr>
          <w:bottom w:val="single" w:sz="6" w:space="10" w:color="000000"/>
        </w:pBdr>
        <w:spacing w:before="160" w:after="200" w:line="240" w:lineRule="auto"/>
        <w:ind w:left="105" w:right="105"/>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 </w:t>
      </w:r>
    </w:p>
    <w:p w:rsidR="00D442C5" w:rsidRPr="00D442C5" w:rsidRDefault="00D442C5" w:rsidP="00D442C5">
      <w:pPr>
        <w:spacing w:before="105" w:after="105" w:line="240" w:lineRule="auto"/>
        <w:ind w:left="105" w:right="105"/>
        <w:rPr>
          <w:rFonts w:ascii="Times New Roman" w:eastAsia="Times New Roman" w:hAnsi="Times New Roman" w:cs="Times New Roman"/>
          <w:sz w:val="24"/>
          <w:szCs w:val="24"/>
          <w:lang w:eastAsia="es-ES"/>
        </w:rPr>
      </w:pPr>
      <w:r w:rsidRPr="00D442C5">
        <w:rPr>
          <w:rFonts w:ascii="Times New Roman" w:eastAsia="Times New Roman" w:hAnsi="Times New Roman" w:cs="Times New Roman"/>
          <w:sz w:val="24"/>
          <w:szCs w:val="24"/>
          <w:lang w:eastAsia="es-ES"/>
        </w:rPr>
        <w:t> </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VISTO:</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Que en la reunión de Comisión Plenaria de fecha 27 de noviembre de 2014, se decidió implementar una serie de cambios tendientes a solucionar la problemática de la limitación en la capacidad numérica del Número Único de Inscripción (NUI); y,</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CONSIDERANDO:</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Que a efectos de simplificar y unificar los datos de los sujetos inscriptos, se resolvió establecer como única identificación de los contribuyentes de Convenio Multilateral, el Número de Clave Única de Identificación Tributaria (CUIT) otorgado por la Administración Federal de Ingresos Públicos.</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Que sin perjuicio de lo expuesto, por razones de índole administrativa, normativa, tributaria e informática, debe preservarse adicionalmente la codificación de la jurisdicción sede, la cual se identificará con tres dígitos (901 a 924). Dichos dígitos serán los ya asignados, con anterioridad a la adopción de la CUIT, en los primeros dígitos del número de inscripción o, en su defecto, los que a través del Sistema Padrón Web se asignen en los trámites que se efectúen a partir de la entrada en vigencia de la presente resolución.</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Que por otra parte, en la reunión de Comisión Plenaria del 25 de junio de 2015 se acordó establecer la fecha a partir de la cual se implementará la nueva identificación de los contribuyentes, mediante la CUIT y jurisdicción sede.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 xml:space="preserve">Que como primer paso en la implementación de esta decisión, la Comisión Arbitral a través de la </w:t>
      </w:r>
      <w:hyperlink r:id="rId8" w:tgtFrame="_blank" w:history="1">
        <w:r w:rsidRPr="00D442C5">
          <w:rPr>
            <w:rFonts w:ascii="Verdana" w:eastAsia="Times New Roman" w:hAnsi="Verdana" w:cs="Times New Roman"/>
            <w:color w:val="0000FF"/>
            <w:sz w:val="16"/>
            <w:szCs w:val="16"/>
            <w:u w:val="single"/>
            <w:lang w:eastAsia="es-ES"/>
          </w:rPr>
          <w:t>Resolución General N° 14/2014</w:t>
        </w:r>
      </w:hyperlink>
      <w:r w:rsidRPr="00D442C5">
        <w:rPr>
          <w:rFonts w:ascii="Verdana" w:eastAsia="Times New Roman" w:hAnsi="Verdana" w:cs="Times New Roman"/>
          <w:sz w:val="16"/>
          <w:szCs w:val="16"/>
          <w:lang w:eastAsia="es-ES"/>
        </w:rPr>
        <w:t>, estableció los vencimientos para la presentación y pago del Impuesto sobre los Ingresos Brutos de los contribuyentes de Convenio Multilateral correspondientes al ejercicio 2015, en base al dígito verificador del Número de CUIT correspondiente.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Por ello,</w:t>
      </w:r>
    </w:p>
    <w:p w:rsidR="00D442C5" w:rsidRPr="00D442C5" w:rsidRDefault="00D442C5" w:rsidP="00D442C5">
      <w:pPr>
        <w:spacing w:before="200" w:after="100" w:line="240" w:lineRule="auto"/>
        <w:ind w:left="105" w:right="105"/>
        <w:jc w:val="center"/>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 xml:space="preserve">La Comisión Arbitral </w:t>
      </w:r>
    </w:p>
    <w:p w:rsidR="00D442C5" w:rsidRPr="00D442C5" w:rsidRDefault="00D442C5" w:rsidP="00D442C5">
      <w:pPr>
        <w:spacing w:before="200" w:after="100" w:line="240" w:lineRule="auto"/>
        <w:ind w:left="105" w:right="105"/>
        <w:jc w:val="center"/>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Convenio Multilateral del 18/8/1977</w:t>
      </w:r>
    </w:p>
    <w:p w:rsidR="00D442C5" w:rsidRPr="00D442C5" w:rsidRDefault="00D442C5" w:rsidP="00D442C5">
      <w:pPr>
        <w:spacing w:before="200" w:after="100" w:line="240" w:lineRule="auto"/>
        <w:ind w:left="105" w:right="105"/>
        <w:jc w:val="center"/>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RESUELVE: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t>Art. 1</w:t>
      </w:r>
      <w:r w:rsidRPr="00D442C5">
        <w:rPr>
          <w:rFonts w:ascii="Verdana" w:eastAsia="Times New Roman" w:hAnsi="Verdana" w:cs="Times New Roman"/>
          <w:sz w:val="16"/>
          <w:szCs w:val="16"/>
          <w:lang w:eastAsia="es-ES"/>
        </w:rPr>
        <w:t xml:space="preserve"> - Establecer a partir del 1 de noviembre de 2015 como única identificación para todos los contribuyentes del impuesto sobre los ingresos brutos comprendidos en el Convenio Multilateral, el número de Clave Única de Identificación Tributaria (CUIT) otorgado por la Administración Federal de Ingresos Públicos (AFIP).</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lastRenderedPageBreak/>
        <w:t>Art. 2</w:t>
      </w:r>
      <w:r w:rsidRPr="00D442C5">
        <w:rPr>
          <w:rFonts w:ascii="Verdana" w:eastAsia="Times New Roman" w:hAnsi="Verdana" w:cs="Times New Roman"/>
          <w:sz w:val="16"/>
          <w:szCs w:val="16"/>
          <w:lang w:eastAsia="es-ES"/>
        </w:rPr>
        <w:t xml:space="preserve"> - Adicionalmente deberán considerarse los dígitos asignados como Jurisdicción Sede, la cual se identifica entre 901 y 924 de acuerdo a lo previsto en el </w:t>
      </w:r>
      <w:hyperlink r:id="rId9" w:anchor="ANEXO" w:tgtFrame="_self" w:history="1">
        <w:r w:rsidRPr="00D442C5">
          <w:rPr>
            <w:rFonts w:ascii="Verdana" w:eastAsia="Times New Roman" w:hAnsi="Verdana" w:cs="Times New Roman"/>
            <w:color w:val="0000FF"/>
            <w:sz w:val="16"/>
            <w:szCs w:val="16"/>
            <w:u w:val="single"/>
            <w:lang w:eastAsia="es-ES"/>
          </w:rPr>
          <w:t>Anexo</w:t>
        </w:r>
      </w:hyperlink>
      <w:r w:rsidRPr="00D442C5">
        <w:rPr>
          <w:rFonts w:ascii="Verdana" w:eastAsia="Times New Roman" w:hAnsi="Verdana" w:cs="Times New Roman"/>
          <w:sz w:val="16"/>
          <w:szCs w:val="16"/>
          <w:lang w:eastAsia="es-ES"/>
        </w:rPr>
        <w:t xml:space="preserve"> que forma parte integrante de la presente resolución.</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Los contribuyentes que hubieran obtenido su número de inscripción ante el Convenio Multilateral con anterioridad a la fecha de vigencia de la presente, quedarán identificados de oficio dentro del Sistema Padrón Web, con el número de la CUIT correspondiente junto a los dígitos que identifican a su jurisdicción sede.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t>Art. 3</w:t>
      </w:r>
      <w:r w:rsidRPr="00D442C5">
        <w:rPr>
          <w:rFonts w:ascii="Verdana" w:eastAsia="Times New Roman" w:hAnsi="Verdana" w:cs="Times New Roman"/>
          <w:sz w:val="16"/>
          <w:szCs w:val="16"/>
          <w:lang w:eastAsia="es-ES"/>
        </w:rPr>
        <w:t xml:space="preserve"> - Los Fiscos adheridos deberán adoptar las medidas tendientes a posibilitar la conformación del nuevo registro de contribuyentes con arreglo a las modificaciones introducidas por la presente resolución.</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t>Art. 4</w:t>
      </w:r>
      <w:r w:rsidRPr="00D442C5">
        <w:rPr>
          <w:rFonts w:ascii="Verdana" w:eastAsia="Times New Roman" w:hAnsi="Verdana" w:cs="Times New Roman"/>
          <w:sz w:val="16"/>
          <w:szCs w:val="16"/>
          <w:lang w:eastAsia="es-ES"/>
        </w:rPr>
        <w:t xml:space="preserve"> - En todas aquellas disposiciones en las que se hace referencia al número de inscripción asignado por la jurisdicción sede o el Sistema Padrón Web, debe entenderse que se refiere al número de la CUIT mencionado, más los 3 dígitos asignados como jurisdicción sede.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t>Art. 5</w:t>
      </w:r>
      <w:r w:rsidRPr="00D442C5">
        <w:rPr>
          <w:rFonts w:ascii="Verdana" w:eastAsia="Times New Roman" w:hAnsi="Verdana" w:cs="Times New Roman"/>
          <w:sz w:val="16"/>
          <w:szCs w:val="16"/>
          <w:lang w:eastAsia="es-ES"/>
        </w:rPr>
        <w:t xml:space="preserve"> - De forma.</w:t>
      </w:r>
    </w:p>
    <w:p w:rsidR="00D442C5" w:rsidRPr="00D442C5" w:rsidRDefault="00D442C5" w:rsidP="00D442C5">
      <w:pPr>
        <w:spacing w:before="120" w:after="0" w:line="240" w:lineRule="auto"/>
        <w:ind w:left="105" w:right="105"/>
        <w:jc w:val="both"/>
        <w:rPr>
          <w:rFonts w:ascii="Verdana" w:eastAsia="Times New Roman" w:hAnsi="Verdana" w:cs="Times New Roman"/>
          <w:sz w:val="16"/>
          <w:szCs w:val="16"/>
          <w:lang w:eastAsia="es-ES"/>
        </w:rPr>
      </w:pPr>
      <w:bookmarkStart w:id="1" w:name="textosegun"/>
      <w:r w:rsidRPr="00D442C5">
        <w:rPr>
          <w:rFonts w:ascii="Verdana" w:eastAsia="Times New Roman" w:hAnsi="Verdana" w:cs="Times New Roman"/>
          <w:vanish/>
          <w:sz w:val="16"/>
          <w:szCs w:val="16"/>
          <w:lang w:eastAsia="es-ES"/>
        </w:rPr>
        <w:t> </w:t>
      </w:r>
      <w:r w:rsidRPr="00D442C5">
        <w:rPr>
          <w:rFonts w:ascii="Verdana" w:eastAsia="Times New Roman" w:hAnsi="Verdana" w:cs="Times New Roman"/>
          <w:sz w:val="16"/>
          <w:szCs w:val="16"/>
          <w:lang w:eastAsia="es-ES"/>
        </w:rPr>
        <w:t xml:space="preserve"> </w:t>
      </w:r>
      <w:bookmarkEnd w:id="1"/>
      <w:r w:rsidRPr="00D442C5">
        <w:rPr>
          <w:rFonts w:ascii="Verdana" w:eastAsia="Times New Roman" w:hAnsi="Verdana" w:cs="Times New Roman"/>
          <w:b/>
          <w:bCs/>
          <w:sz w:val="16"/>
          <w:szCs w:val="16"/>
          <w:lang w:eastAsia="es-ES"/>
        </w:rPr>
        <w:t>TEXTO S/</w:t>
      </w:r>
      <w:r w:rsidRPr="00D442C5">
        <w:rPr>
          <w:rFonts w:ascii="Verdana" w:eastAsia="Times New Roman" w:hAnsi="Verdana" w:cs="Times New Roman"/>
          <w:sz w:val="16"/>
          <w:szCs w:val="16"/>
          <w:lang w:eastAsia="es-ES"/>
        </w:rPr>
        <w:t xml:space="preserve">RG (CA) 3/2015 - </w:t>
      </w:r>
      <w:r w:rsidRPr="00D442C5">
        <w:rPr>
          <w:rFonts w:ascii="Verdana" w:eastAsia="Times New Roman" w:hAnsi="Verdana" w:cs="Times New Roman"/>
          <w:b/>
          <w:bCs/>
          <w:sz w:val="16"/>
          <w:szCs w:val="16"/>
          <w:lang w:eastAsia="es-ES"/>
        </w:rPr>
        <w:t>BO</w:t>
      </w:r>
      <w:r w:rsidRPr="00D442C5">
        <w:rPr>
          <w:rFonts w:ascii="Verdana" w:eastAsia="Times New Roman" w:hAnsi="Verdana" w:cs="Times New Roman"/>
          <w:sz w:val="16"/>
          <w:szCs w:val="16"/>
          <w:lang w:eastAsia="es-ES"/>
        </w:rPr>
        <w:t>: 28/7/2015</w:t>
      </w:r>
    </w:p>
    <w:p w:rsidR="00D442C5" w:rsidRPr="00D442C5" w:rsidRDefault="00D442C5" w:rsidP="00D442C5">
      <w:pPr>
        <w:spacing w:before="120" w:after="0" w:line="240" w:lineRule="auto"/>
        <w:ind w:left="105" w:right="105"/>
        <w:jc w:val="both"/>
        <w:rPr>
          <w:rFonts w:ascii="Verdana" w:eastAsia="Times New Roman" w:hAnsi="Verdana" w:cs="Times New Roman"/>
          <w:sz w:val="16"/>
          <w:szCs w:val="16"/>
          <w:lang w:eastAsia="es-ES"/>
        </w:rPr>
      </w:pPr>
      <w:r w:rsidRPr="00D442C5">
        <w:rPr>
          <w:rFonts w:ascii="Verdana" w:eastAsia="Times New Roman" w:hAnsi="Verdana" w:cs="Times New Roman"/>
          <w:b/>
          <w:bCs/>
          <w:sz w:val="16"/>
          <w:szCs w:val="16"/>
          <w:lang w:eastAsia="es-ES"/>
        </w:rPr>
        <w:t>FUENTE:</w:t>
      </w:r>
      <w:r w:rsidRPr="00D442C5">
        <w:rPr>
          <w:rFonts w:ascii="Verdana" w:eastAsia="Times New Roman" w:hAnsi="Verdana" w:cs="Times New Roman"/>
          <w:sz w:val="16"/>
          <w:szCs w:val="16"/>
          <w:lang w:eastAsia="es-ES"/>
        </w:rPr>
        <w:t xml:space="preserve"> RG (CA) 3/2015</w:t>
      </w:r>
    </w:p>
    <w:p w:rsidR="00D442C5" w:rsidRPr="00D442C5" w:rsidRDefault="00D442C5" w:rsidP="00D442C5">
      <w:pPr>
        <w:shd w:val="clear" w:color="auto" w:fill="000000"/>
        <w:spacing w:before="120" w:after="100" w:afterAutospacing="1" w:line="240" w:lineRule="auto"/>
        <w:ind w:left="105" w:right="105"/>
        <w:rPr>
          <w:rFonts w:ascii="Verdana" w:eastAsia="Times New Roman" w:hAnsi="Verdana" w:cs="Times New Roman"/>
          <w:b/>
          <w:bCs/>
          <w:color w:val="FFFFFF"/>
          <w:sz w:val="16"/>
          <w:szCs w:val="16"/>
          <w:lang w:eastAsia="es-ES"/>
        </w:rPr>
      </w:pPr>
      <w:r w:rsidRPr="00D442C5">
        <w:rPr>
          <w:rFonts w:ascii="Verdana" w:eastAsia="Times New Roman" w:hAnsi="Verdana" w:cs="Times New Roman"/>
          <w:b/>
          <w:bCs/>
          <w:color w:val="FFFFFF"/>
          <w:sz w:val="16"/>
          <w:szCs w:val="16"/>
          <w:lang w:eastAsia="es-ES"/>
        </w:rPr>
        <w:t>VIGENCIA Y APLICACIÓN</w:t>
      </w:r>
    </w:p>
    <w:p w:rsidR="00D442C5" w:rsidRPr="00D442C5" w:rsidRDefault="00D442C5" w:rsidP="00D442C5">
      <w:pPr>
        <w:spacing w:before="120" w:after="0" w:line="240" w:lineRule="auto"/>
        <w:ind w:left="105" w:right="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Vigencia: 28/7/2015</w:t>
      </w:r>
    </w:p>
    <w:p w:rsidR="00D442C5" w:rsidRPr="00D442C5" w:rsidRDefault="00D442C5" w:rsidP="00D442C5">
      <w:pPr>
        <w:spacing w:before="120" w:after="0" w:line="240" w:lineRule="auto"/>
        <w:ind w:left="105" w:right="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Aplicación: desde el 1/11/2015</w:t>
      </w:r>
    </w:p>
    <w:p w:rsidR="00D442C5" w:rsidRPr="00D442C5" w:rsidRDefault="00D442C5" w:rsidP="00D442C5">
      <w:pPr>
        <w:spacing w:before="240" w:after="100" w:line="240" w:lineRule="auto"/>
        <w:ind w:left="105" w:right="105"/>
        <w:jc w:val="center"/>
        <w:rPr>
          <w:rFonts w:ascii="Verdana" w:eastAsia="Times New Roman" w:hAnsi="Verdana" w:cs="Times New Roman"/>
          <w:b/>
          <w:bCs/>
          <w:sz w:val="16"/>
          <w:szCs w:val="16"/>
          <w:lang w:eastAsia="es-ES"/>
        </w:rPr>
      </w:pPr>
      <w:bookmarkStart w:id="2" w:name="ANEXO"/>
      <w:r w:rsidRPr="00D442C5">
        <w:rPr>
          <w:rFonts w:ascii="Verdana" w:eastAsia="Times New Roman" w:hAnsi="Verdana" w:cs="Times New Roman"/>
          <w:b/>
          <w:bCs/>
          <w:vanish/>
          <w:sz w:val="16"/>
          <w:szCs w:val="16"/>
          <w:lang w:eastAsia="es-ES"/>
        </w:rPr>
        <w:t> </w:t>
      </w:r>
      <w:r w:rsidRPr="00D442C5">
        <w:rPr>
          <w:rFonts w:ascii="Verdana" w:eastAsia="Times New Roman" w:hAnsi="Verdana" w:cs="Times New Roman"/>
          <w:b/>
          <w:bCs/>
          <w:sz w:val="16"/>
          <w:szCs w:val="16"/>
          <w:lang w:eastAsia="es-ES"/>
        </w:rPr>
        <w:t xml:space="preserve"> </w:t>
      </w:r>
      <w:bookmarkEnd w:id="2"/>
      <w:r w:rsidRPr="00D442C5">
        <w:rPr>
          <w:rFonts w:ascii="Verdana" w:eastAsia="Times New Roman" w:hAnsi="Verdana" w:cs="Times New Roman"/>
          <w:b/>
          <w:bCs/>
          <w:sz w:val="16"/>
          <w:szCs w:val="16"/>
          <w:lang w:eastAsia="es-ES"/>
        </w:rPr>
        <w:t>ANEXO</w:t>
      </w:r>
    </w:p>
    <w:p w:rsidR="00D442C5" w:rsidRPr="00D442C5" w:rsidRDefault="00D442C5" w:rsidP="00D442C5">
      <w:pPr>
        <w:spacing w:before="200" w:after="100" w:line="240" w:lineRule="auto"/>
        <w:ind w:left="105" w:right="105"/>
        <w:jc w:val="center"/>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Determinación de la Jurisdicción Sede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Lo asigna el Sistema Padrón Web luego de la confirmación de los trámites “Inscripción”, “Reinscripción” o “Modificar Domicilio Fiscal (jurisdicción sede)”.</w:t>
      </w:r>
    </w:p>
    <w:p w:rsidR="00D442C5" w:rsidRPr="00D442C5" w:rsidRDefault="00D442C5" w:rsidP="00D442C5">
      <w:pPr>
        <w:spacing w:before="80" w:after="0" w:line="240" w:lineRule="auto"/>
        <w:ind w:left="105" w:right="105" w:firstLine="105"/>
        <w:jc w:val="both"/>
        <w:rPr>
          <w:rFonts w:ascii="Verdana" w:eastAsia="Times New Roman" w:hAnsi="Verdana" w:cs="Times New Roman"/>
          <w:sz w:val="16"/>
          <w:szCs w:val="16"/>
          <w:lang w:eastAsia="es-ES"/>
        </w:rPr>
      </w:pPr>
      <w:r w:rsidRPr="00D442C5">
        <w:rPr>
          <w:rFonts w:ascii="Verdana" w:eastAsia="Times New Roman" w:hAnsi="Verdana" w:cs="Times New Roman"/>
          <w:sz w:val="16"/>
          <w:szCs w:val="16"/>
          <w:lang w:eastAsia="es-ES"/>
        </w:rPr>
        <w:t>Identifica al Fisco sede actualizado, lo cual consta de tres posiciones de acuerdo con la siguiente tabla de códigos de jurisdicción:</w:t>
      </w:r>
    </w:p>
    <w:p w:rsidR="00D442C5" w:rsidRPr="00D442C5" w:rsidRDefault="00D442C5" w:rsidP="00D442C5">
      <w:pPr>
        <w:spacing w:before="105" w:after="105" w:line="240" w:lineRule="auto"/>
        <w:ind w:left="105" w:right="105"/>
        <w:rPr>
          <w:rFonts w:ascii="Times New Roman" w:eastAsia="Times New Roman" w:hAnsi="Times New Roman" w:cs="Times New Roman"/>
          <w:sz w:val="24"/>
          <w:szCs w:val="24"/>
          <w:lang w:eastAsia="es-ES"/>
        </w:rPr>
      </w:pPr>
      <w:r w:rsidRPr="00D442C5">
        <w:rPr>
          <w:rFonts w:ascii="Times New Roman" w:eastAsia="Times New Roman" w:hAnsi="Times New Roman" w:cs="Times New Roman"/>
          <w:sz w:val="24"/>
          <w:szCs w:val="24"/>
          <w:lang w:eastAsia="es-ES"/>
        </w:rPr>
        <w:t> </w:t>
      </w:r>
    </w:p>
    <w:tbl>
      <w:tblPr>
        <w:tblW w:w="1250" w:type="pct"/>
        <w:tblBorders>
          <w:top w:val="single" w:sz="12" w:space="0" w:color="000000"/>
          <w:left w:val="single" w:sz="12" w:space="0" w:color="000000"/>
          <w:bottom w:val="single" w:sz="12" w:space="0" w:color="000000"/>
          <w:right w:val="single" w:sz="12" w:space="0" w:color="000000"/>
        </w:tblBorders>
        <w:tblCellMar>
          <w:top w:w="15" w:type="dxa"/>
          <w:left w:w="15" w:type="dxa"/>
          <w:bottom w:w="15" w:type="dxa"/>
          <w:right w:w="15" w:type="dxa"/>
        </w:tblCellMar>
        <w:tblLook w:val="04A0" w:firstRow="1" w:lastRow="0" w:firstColumn="1" w:lastColumn="0" w:noHBand="0" w:noVBand="1"/>
      </w:tblPr>
      <w:tblGrid>
        <w:gridCol w:w="2122"/>
      </w:tblGrid>
      <w:tr w:rsidR="00D442C5" w:rsidRPr="00D442C5" w:rsidTr="00D442C5">
        <w:trPr>
          <w:trHeight w:val="30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901 - Capital Federal</w:t>
            </w:r>
          </w:p>
        </w:tc>
      </w:tr>
      <w:tr w:rsidR="00D442C5" w:rsidRPr="00D442C5" w:rsidTr="00D442C5">
        <w:trPr>
          <w:trHeight w:val="28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902 - Buenos Aires</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903 - Catamarca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904 - Córdoba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905 - Corrientes</w:t>
            </w:r>
          </w:p>
        </w:tc>
      </w:tr>
      <w:tr w:rsidR="00D442C5" w:rsidRPr="00D442C5" w:rsidTr="00D442C5">
        <w:trPr>
          <w:trHeight w:val="28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906 - Chaco</w:t>
            </w:r>
          </w:p>
        </w:tc>
      </w:tr>
      <w:tr w:rsidR="00D442C5" w:rsidRPr="00D442C5" w:rsidTr="00D442C5">
        <w:trPr>
          <w:trHeight w:val="25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907 - Chubut</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908 - Entre Ríos</w:t>
            </w:r>
          </w:p>
        </w:tc>
      </w:tr>
      <w:tr w:rsidR="00D442C5" w:rsidRPr="00D442C5" w:rsidTr="00D442C5">
        <w:trPr>
          <w:trHeight w:val="28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909 - Formosa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910 - Jujuy</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911 - La Pampa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912 - La Rioja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913 - Mendoza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914 - Misiones</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915 - Neuquén</w:t>
            </w:r>
          </w:p>
        </w:tc>
      </w:tr>
      <w:tr w:rsidR="00D442C5" w:rsidRPr="00D442C5" w:rsidTr="00D442C5">
        <w:trPr>
          <w:trHeight w:val="28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916 - Río Negro</w:t>
            </w:r>
          </w:p>
        </w:tc>
      </w:tr>
      <w:tr w:rsidR="00D442C5" w:rsidRPr="00D442C5" w:rsidTr="00D442C5">
        <w:trPr>
          <w:trHeight w:val="25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917 - Salta</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918 - San Juan</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919 - San Luis</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920 - Santa Cruz</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921 - Santa Fe</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922 - Santiago del Estero</w:t>
            </w:r>
          </w:p>
        </w:tc>
      </w:tr>
      <w:tr w:rsidR="00D442C5" w:rsidRPr="00D442C5" w:rsidTr="00D442C5">
        <w:trPr>
          <w:trHeight w:val="27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t>923 - Tierra del Fuego</w:t>
            </w:r>
          </w:p>
        </w:tc>
      </w:tr>
      <w:tr w:rsidR="00D442C5" w:rsidRPr="00D442C5" w:rsidTr="00D442C5">
        <w:trPr>
          <w:trHeight w:val="300"/>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5" w:type="dxa"/>
              <w:bottom w:w="0" w:type="dxa"/>
              <w:right w:w="15" w:type="dxa"/>
            </w:tcMar>
            <w:vAlign w:val="center"/>
            <w:hideMark/>
          </w:tcPr>
          <w:p w:rsidR="00D442C5" w:rsidRPr="00D442C5" w:rsidRDefault="00D442C5" w:rsidP="00D442C5">
            <w:pPr>
              <w:spacing w:after="0" w:line="240" w:lineRule="auto"/>
              <w:ind w:left="105" w:right="105"/>
              <w:rPr>
                <w:rFonts w:ascii="Verdana" w:eastAsia="Times New Roman" w:hAnsi="Verdana" w:cs="Times New Roman"/>
                <w:sz w:val="15"/>
                <w:szCs w:val="15"/>
                <w:lang w:eastAsia="es-ES"/>
              </w:rPr>
            </w:pPr>
            <w:r w:rsidRPr="00D442C5">
              <w:rPr>
                <w:rFonts w:ascii="Verdana" w:eastAsia="Times New Roman" w:hAnsi="Verdana" w:cs="Times New Roman"/>
                <w:sz w:val="15"/>
                <w:szCs w:val="15"/>
                <w:lang w:eastAsia="es-ES"/>
              </w:rPr>
              <w:lastRenderedPageBreak/>
              <w:t>924 - Tucumán</w:t>
            </w:r>
          </w:p>
        </w:tc>
      </w:tr>
    </w:tbl>
    <w:p w:rsidR="00D442C5" w:rsidRPr="00D442C5" w:rsidRDefault="00D442C5" w:rsidP="00D442C5">
      <w:pPr>
        <w:spacing w:before="105" w:after="105" w:line="240" w:lineRule="auto"/>
        <w:ind w:left="105" w:right="105"/>
        <w:rPr>
          <w:rFonts w:ascii="Times New Roman" w:eastAsia="Times New Roman" w:hAnsi="Times New Roman" w:cs="Times New Roman"/>
          <w:sz w:val="24"/>
          <w:szCs w:val="24"/>
          <w:lang w:eastAsia="es-ES"/>
        </w:rPr>
      </w:pPr>
      <w:r w:rsidRPr="00D442C5">
        <w:rPr>
          <w:rFonts w:ascii="Times New Roman" w:eastAsia="Times New Roman" w:hAnsi="Times New Roman" w:cs="Times New Roman"/>
          <w:sz w:val="24"/>
          <w:szCs w:val="24"/>
          <w:lang w:eastAsia="es-ES"/>
        </w:rPr>
        <w:t> </w:t>
      </w:r>
    </w:p>
    <w:p w:rsidR="00D442C5" w:rsidRPr="00D442C5" w:rsidRDefault="00D442C5" w:rsidP="00D442C5">
      <w:pPr>
        <w:spacing w:after="0" w:line="240" w:lineRule="auto"/>
        <w:rPr>
          <w:rFonts w:ascii="Calibri" w:eastAsia="Times New Roman" w:hAnsi="Calibri" w:cs="Times New Roman"/>
          <w:lang w:eastAsia="es-ES"/>
        </w:rPr>
      </w:pPr>
      <w:r w:rsidRPr="00D442C5">
        <w:rPr>
          <w:rFonts w:ascii="Calibri" w:eastAsia="Times New Roman" w:hAnsi="Calibri" w:cs="Times New Roman"/>
          <w:lang w:eastAsia="es-ES"/>
        </w:rPr>
        <w:pict>
          <v:rect id="_x0000_i1032" style="width:0;height:1.5pt" o:hralign="center" o:hrstd="t" o:hr="t" fillcolor="#a0a0a0" stroked="f"/>
        </w:pict>
      </w:r>
    </w:p>
    <w:p w:rsidR="00D442C5" w:rsidRPr="00D442C5" w:rsidRDefault="00D442C5" w:rsidP="00D442C5">
      <w:pPr>
        <w:spacing w:after="0" w:line="240" w:lineRule="auto"/>
        <w:jc w:val="right"/>
        <w:rPr>
          <w:rFonts w:ascii="Verdana" w:eastAsia="Times New Roman" w:hAnsi="Verdana" w:cs="Times New Roman"/>
          <w:vanish/>
          <w:color w:val="7F7F7F"/>
          <w:sz w:val="18"/>
          <w:szCs w:val="18"/>
          <w:lang w:eastAsia="es-ES"/>
        </w:rPr>
      </w:pPr>
      <w:r w:rsidRPr="00D442C5">
        <w:rPr>
          <w:rFonts w:ascii="Verdana" w:eastAsia="Times New Roman" w:hAnsi="Verdana" w:cs="Times New Roman"/>
          <w:vanish/>
          <w:color w:val="7F7F7F"/>
          <w:sz w:val="18"/>
          <w:szCs w:val="18"/>
          <w:lang w:eastAsia="es-ES"/>
        </w:rPr>
        <w:pict>
          <v:rect id="_x0000_i1035" style="width:0;height:1.5pt" o:hralign="center" o:hrstd="t" o:hr="t" fillcolor="#a0a0a0" stroked="f"/>
        </w:pict>
      </w:r>
    </w:p>
    <w:p w:rsidR="00D442C5" w:rsidRPr="00D442C5" w:rsidRDefault="00D442C5" w:rsidP="00D442C5">
      <w:pPr>
        <w:spacing w:after="0" w:line="240" w:lineRule="auto"/>
        <w:jc w:val="right"/>
        <w:rPr>
          <w:rFonts w:ascii="Verdana" w:eastAsia="Times New Roman" w:hAnsi="Verdana" w:cs="Times New Roman"/>
          <w:vanish/>
          <w:color w:val="7F7F7F"/>
          <w:sz w:val="18"/>
          <w:szCs w:val="18"/>
          <w:lang w:eastAsia="es-ES"/>
        </w:rPr>
      </w:pPr>
      <w:r w:rsidRPr="00D442C5">
        <w:rPr>
          <w:rFonts w:ascii="Verdana" w:eastAsia="Times New Roman" w:hAnsi="Verdana" w:cs="Times New Roman"/>
          <w:vanish/>
          <w:color w:val="7F7F7F"/>
          <w:sz w:val="18"/>
          <w:szCs w:val="18"/>
          <w:lang w:eastAsia="es-ES"/>
        </w:rPr>
        <w:t xml:space="preserve">Editorial Errepar - Todos los derechos reservados. </w:t>
      </w:r>
    </w:p>
    <w:p w:rsidR="00EC1B69" w:rsidRDefault="00EC1B69"/>
    <w:sectPr w:rsidR="00EC1B6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9BC181B"/>
    <w:multiLevelType w:val="multilevel"/>
    <w:tmpl w:val="E4761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2C5"/>
    <w:rsid w:val="00D442C5"/>
    <w:rsid w:val="00EC1B6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00C310-11E7-437D-8544-8CB09B017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129330">
      <w:bodyDiv w:val="1"/>
      <w:marLeft w:val="0"/>
      <w:marRight w:val="0"/>
      <w:marTop w:val="0"/>
      <w:marBottom w:val="0"/>
      <w:divBdr>
        <w:top w:val="none" w:sz="0" w:space="0" w:color="auto"/>
        <w:left w:val="none" w:sz="0" w:space="0" w:color="auto"/>
        <w:bottom w:val="none" w:sz="0" w:space="0" w:color="auto"/>
        <w:right w:val="none" w:sz="0" w:space="0" w:color="auto"/>
      </w:divBdr>
    </w:div>
    <w:div w:id="735904115">
      <w:bodyDiv w:val="1"/>
      <w:marLeft w:val="0"/>
      <w:marRight w:val="0"/>
      <w:marTop w:val="0"/>
      <w:marBottom w:val="0"/>
      <w:divBdr>
        <w:top w:val="none" w:sz="0" w:space="0" w:color="auto"/>
        <w:left w:val="none" w:sz="0" w:space="0" w:color="auto"/>
        <w:bottom w:val="none" w:sz="0" w:space="0" w:color="auto"/>
        <w:right w:val="none" w:sz="0" w:space="0" w:color="auto"/>
      </w:divBdr>
      <w:divsChild>
        <w:div w:id="880705335">
          <w:marLeft w:val="0"/>
          <w:marRight w:val="0"/>
          <w:marTop w:val="0"/>
          <w:marBottom w:val="0"/>
          <w:divBdr>
            <w:top w:val="none" w:sz="0" w:space="0" w:color="auto"/>
            <w:left w:val="none" w:sz="0" w:space="0" w:color="auto"/>
            <w:bottom w:val="none" w:sz="0" w:space="0" w:color="auto"/>
            <w:right w:val="none" w:sz="0" w:space="0" w:color="auto"/>
          </w:divBdr>
          <w:divsChild>
            <w:div w:id="1326859021">
              <w:marLeft w:val="0"/>
              <w:marRight w:val="0"/>
              <w:marTop w:val="0"/>
              <w:marBottom w:val="0"/>
              <w:divBdr>
                <w:top w:val="none" w:sz="0" w:space="0" w:color="auto"/>
                <w:left w:val="none" w:sz="0" w:space="0" w:color="auto"/>
                <w:bottom w:val="single" w:sz="6" w:space="0" w:color="FFFFFF"/>
                <w:right w:val="none" w:sz="0" w:space="0" w:color="auto"/>
              </w:divBdr>
            </w:div>
            <w:div w:id="1331717852">
              <w:marLeft w:val="0"/>
              <w:marRight w:val="0"/>
              <w:marTop w:val="0"/>
              <w:marBottom w:val="0"/>
              <w:divBdr>
                <w:top w:val="none" w:sz="0" w:space="0" w:color="auto"/>
                <w:left w:val="none" w:sz="0" w:space="0" w:color="auto"/>
                <w:bottom w:val="none" w:sz="0" w:space="0" w:color="auto"/>
                <w:right w:val="none" w:sz="0" w:space="0" w:color="auto"/>
              </w:divBdr>
            </w:div>
          </w:divsChild>
        </w:div>
        <w:div w:id="909267357">
          <w:marLeft w:val="0"/>
          <w:marRight w:val="0"/>
          <w:marTop w:val="0"/>
          <w:marBottom w:val="0"/>
          <w:divBdr>
            <w:top w:val="none" w:sz="0" w:space="0" w:color="auto"/>
            <w:left w:val="none" w:sz="0" w:space="0" w:color="auto"/>
            <w:bottom w:val="none" w:sz="0" w:space="0" w:color="auto"/>
            <w:right w:val="none" w:sz="0" w:space="0" w:color="auto"/>
          </w:divBdr>
          <w:divsChild>
            <w:div w:id="628784892">
              <w:marLeft w:val="0"/>
              <w:marRight w:val="0"/>
              <w:marTop w:val="0"/>
              <w:marBottom w:val="0"/>
              <w:divBdr>
                <w:top w:val="none" w:sz="0" w:space="0" w:color="auto"/>
                <w:left w:val="none" w:sz="0" w:space="0" w:color="auto"/>
                <w:bottom w:val="none" w:sz="0" w:space="0" w:color="auto"/>
                <w:right w:val="none" w:sz="0" w:space="0" w:color="auto"/>
              </w:divBdr>
            </w:div>
          </w:divsChild>
        </w:div>
        <w:div w:id="20520553">
          <w:marLeft w:val="0"/>
          <w:marRight w:val="0"/>
          <w:marTop w:val="0"/>
          <w:marBottom w:val="0"/>
          <w:divBdr>
            <w:top w:val="none" w:sz="0" w:space="0" w:color="auto"/>
            <w:left w:val="none" w:sz="0" w:space="0" w:color="auto"/>
            <w:bottom w:val="none" w:sz="0" w:space="0" w:color="auto"/>
            <w:right w:val="none" w:sz="0" w:space="0" w:color="auto"/>
          </w:divBdr>
          <w:divsChild>
            <w:div w:id="37620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olgestion.errepar.com/sitios/eolgestion/Legislacion/20141205065423320.docxhtml" TargetMode="External"/><Relationship Id="rId3" Type="http://schemas.openxmlformats.org/officeDocument/2006/relationships/settings" Target="settings.xml"/><Relationship Id="rId7" Type="http://schemas.openxmlformats.org/officeDocument/2006/relationships/hyperlink" Target="http://eol.errepar.com/sitios/ver/html/20150728081343118.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ol.errepar.com/sitios/ver/html/20150728081343118.html" TargetMode="External"/><Relationship Id="rId11" Type="http://schemas.openxmlformats.org/officeDocument/2006/relationships/theme" Target="theme/theme1.xml"/><Relationship Id="rId5" Type="http://schemas.openxmlformats.org/officeDocument/2006/relationships/image" Target="media/image1.gi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ol.errepar.com/sitios/ver/html/20150728081343118.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829</Words>
  <Characters>4561</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TOTVS S.A.</Company>
  <LinksUpToDate>false</LinksUpToDate>
  <CharactersWithSpaces>5380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Jose Moreno</dc:creator>
  <cp:keywords/>
  <dc:description/>
  <cp:lastModifiedBy>Juan Jose Moreno</cp:lastModifiedBy>
  <cp:revision>1</cp:revision>
  <dcterms:created xsi:type="dcterms:W3CDTF">2015-07-28T14:59:00Z</dcterms:created>
  <dcterms:modified xsi:type="dcterms:W3CDTF">2015-07-28T15:01:00Z</dcterms:modified>
</cp:coreProperties>
</file>