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5000" w:type="pct"/>
        <w:tblCellSpacing w:w="0" w:type="dxa"/>
        <w:tblCellMar>
          <w:left w:w="0" w:type="dxa"/>
          <w:right w:w="0" w:type="dxa"/>
        </w:tblCellMar>
        <w:tblLook w:val="04A0"/>
      </w:tblPr>
      <w:tblGrid>
        <w:gridCol w:w="300"/>
        <w:gridCol w:w="6854"/>
        <w:gridCol w:w="1350"/>
      </w:tblGrid>
      <w:tr w:rsidR="004F7C6B" w:rsidRPr="004F7C6B" w:rsidTr="004F7C6B">
        <w:trPr>
          <w:tblCellSpacing w:w="0" w:type="dxa"/>
        </w:trPr>
        <w:tc>
          <w:tcPr>
            <w:tcW w:w="75" w:type="dxa"/>
            <w:vAlign w:val="center"/>
            <w:hideMark/>
          </w:tcPr>
          <w:p w:rsidR="004F7C6B" w:rsidRPr="004F7C6B" w:rsidRDefault="004F7C6B" w:rsidP="004F7C6B">
            <w:pPr>
              <w:spacing w:after="0" w:line="240" w:lineRule="auto"/>
              <w:rPr>
                <w:rFonts w:ascii="Arial" w:eastAsia="Times New Roman" w:hAnsi="Arial" w:cs="Arial"/>
                <w:sz w:val="17"/>
                <w:szCs w:val="17"/>
                <w:lang w:eastAsia="es-ES"/>
              </w:rPr>
            </w:pPr>
            <w:r w:rsidRPr="004F7C6B">
              <w:rPr>
                <w:rFonts w:ascii="Times New Roman" w:eastAsia="Times New Roman" w:hAnsi="Times New Roman" w:cs="Times New Roman"/>
                <w:sz w:val="24"/>
                <w:szCs w:val="24"/>
                <w:lang w:eastAsia="es-ES"/>
              </w:rPr>
              <w:pict/>
            </w:r>
          </w:p>
        </w:tc>
        <w:tc>
          <w:tcPr>
            <w:tcW w:w="0" w:type="auto"/>
            <w:vAlign w:val="center"/>
            <w:hideMark/>
          </w:tcPr>
          <w:p w:rsidR="004F7C6B" w:rsidRPr="004F7C6B" w:rsidRDefault="004F7C6B" w:rsidP="004F7C6B">
            <w:pPr>
              <w:spacing w:after="0" w:line="240" w:lineRule="auto"/>
              <w:rPr>
                <w:rFonts w:ascii="Arial" w:eastAsia="Times New Roman" w:hAnsi="Arial" w:cs="Arial"/>
                <w:sz w:val="17"/>
                <w:szCs w:val="17"/>
                <w:lang w:eastAsia="es-ES"/>
              </w:rPr>
            </w:pPr>
            <w:r>
              <w:rPr>
                <w:rFonts w:ascii="Arial" w:eastAsia="Times New Roman" w:hAnsi="Arial" w:cs="Arial"/>
                <w:noProof/>
                <w:sz w:val="17"/>
                <w:szCs w:val="17"/>
                <w:lang w:eastAsia="es-ES"/>
              </w:rPr>
              <w:drawing>
                <wp:inline distT="0" distB="0" distL="0" distR="0">
                  <wp:extent cx="3219450" cy="447675"/>
                  <wp:effectExtent l="19050" t="0" r="0" b="0"/>
                  <wp:docPr id="2" name="Imagen 2" descr="http://eol2.errepar.com/eol/Novedades/img/logo_novedad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eol2.errepar.com/eol/Novedades/img/logo_novedades.jpg"/>
                          <pic:cNvPicPr>
                            <a:picLocks noChangeAspect="1" noChangeArrowheads="1"/>
                          </pic:cNvPicPr>
                        </pic:nvPicPr>
                        <pic:blipFill>
                          <a:blip r:embed="rId4"/>
                          <a:srcRect/>
                          <a:stretch>
                            <a:fillRect/>
                          </a:stretch>
                        </pic:blipFill>
                        <pic:spPr bwMode="auto">
                          <a:xfrm>
                            <a:off x="0" y="0"/>
                            <a:ext cx="3219450" cy="447675"/>
                          </a:xfrm>
                          <a:prstGeom prst="rect">
                            <a:avLst/>
                          </a:prstGeom>
                          <a:noFill/>
                          <a:ln w="9525">
                            <a:noFill/>
                            <a:miter lim="800000"/>
                            <a:headEnd/>
                            <a:tailEnd/>
                          </a:ln>
                        </pic:spPr>
                      </pic:pic>
                    </a:graphicData>
                  </a:graphic>
                </wp:inline>
              </w:drawing>
            </w:r>
          </w:p>
        </w:tc>
        <w:tc>
          <w:tcPr>
            <w:tcW w:w="1350" w:type="dxa"/>
            <w:vAlign w:val="center"/>
            <w:hideMark/>
          </w:tcPr>
          <w:p w:rsidR="004F7C6B" w:rsidRPr="004F7C6B" w:rsidRDefault="004F7C6B" w:rsidP="004F7C6B">
            <w:pPr>
              <w:spacing w:after="0" w:line="240" w:lineRule="auto"/>
              <w:rPr>
                <w:rFonts w:ascii="Arial" w:eastAsia="Times New Roman" w:hAnsi="Arial" w:cs="Arial"/>
                <w:sz w:val="17"/>
                <w:szCs w:val="17"/>
                <w:lang w:eastAsia="es-ES"/>
              </w:rPr>
            </w:pPr>
            <w:r>
              <w:rPr>
                <w:rFonts w:ascii="Arial" w:eastAsia="Times New Roman" w:hAnsi="Arial" w:cs="Arial"/>
                <w:noProof/>
                <w:color w:val="008000"/>
                <w:sz w:val="17"/>
                <w:szCs w:val="17"/>
                <w:lang w:eastAsia="es-ES"/>
              </w:rPr>
              <w:drawing>
                <wp:inline distT="0" distB="0" distL="0" distR="0">
                  <wp:extent cx="762000" cy="247650"/>
                  <wp:effectExtent l="19050" t="0" r="0" b="0"/>
                  <wp:docPr id="3" name="Imagen 3" descr="http://eol2.errepar.com/eol/Novedades/img/btn_printer_up.gif">
                    <a:hlinkClick xmlns:a="http://schemas.openxmlformats.org/drawingml/2006/main" r:id="rId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eol2.errepar.com/eol/Novedades/img/btn_printer_up.gif">
                            <a:hlinkClick r:id="rId5"/>
                          </pic:cNvPr>
                          <pic:cNvPicPr>
                            <a:picLocks noChangeAspect="1" noChangeArrowheads="1"/>
                          </pic:cNvPicPr>
                        </pic:nvPicPr>
                        <pic:blipFill>
                          <a:blip r:embed="rId6"/>
                          <a:srcRect/>
                          <a:stretch>
                            <a:fillRect/>
                          </a:stretch>
                        </pic:blipFill>
                        <pic:spPr bwMode="auto">
                          <a:xfrm>
                            <a:off x="0" y="0"/>
                            <a:ext cx="762000" cy="247650"/>
                          </a:xfrm>
                          <a:prstGeom prst="rect">
                            <a:avLst/>
                          </a:prstGeom>
                          <a:noFill/>
                          <a:ln w="9525">
                            <a:noFill/>
                            <a:miter lim="800000"/>
                            <a:headEnd/>
                            <a:tailEnd/>
                          </a:ln>
                        </pic:spPr>
                      </pic:pic>
                    </a:graphicData>
                  </a:graphic>
                </wp:inline>
              </w:drawing>
            </w:r>
          </w:p>
        </w:tc>
      </w:tr>
    </w:tbl>
    <w:p w:rsidR="004F7C6B" w:rsidRPr="004F7C6B" w:rsidRDefault="004F7C6B" w:rsidP="004F7C6B">
      <w:pPr>
        <w:spacing w:after="240" w:line="240" w:lineRule="auto"/>
        <w:rPr>
          <w:rFonts w:ascii="Arial" w:eastAsia="Times New Roman" w:hAnsi="Arial" w:cs="Arial"/>
          <w:sz w:val="17"/>
          <w:szCs w:val="17"/>
          <w:lang w:eastAsia="es-ES"/>
        </w:rPr>
      </w:pPr>
    </w:p>
    <w:p w:rsidR="004F7C6B" w:rsidRPr="004F7C6B" w:rsidRDefault="004F7C6B" w:rsidP="004F7C6B">
      <w:pPr>
        <w:spacing w:after="0" w:line="240" w:lineRule="auto"/>
        <w:rPr>
          <w:rFonts w:ascii="Arial" w:eastAsia="Times New Roman" w:hAnsi="Arial" w:cs="Arial"/>
          <w:sz w:val="17"/>
          <w:szCs w:val="17"/>
          <w:lang w:eastAsia="es-ES"/>
        </w:rPr>
      </w:pPr>
      <w:r w:rsidRPr="004F7C6B">
        <w:rPr>
          <w:rFonts w:ascii="Tahoma" w:eastAsia="Times New Roman" w:hAnsi="Tahoma" w:cs="Tahoma"/>
          <w:b/>
          <w:bCs/>
          <w:color w:val="000000"/>
          <w:sz w:val="23"/>
          <w:szCs w:val="23"/>
          <w:lang w:eastAsia="es-ES"/>
        </w:rPr>
        <w:t xml:space="preserve">RESOLUCIÓN GENERAL (Com. Arbitral Convenio Multilateral) 5/2011 </w:t>
      </w:r>
    </w:p>
    <w:p w:rsidR="004F7C6B" w:rsidRPr="004F7C6B" w:rsidRDefault="004F7C6B" w:rsidP="004F7C6B">
      <w:pPr>
        <w:spacing w:after="0" w:line="240" w:lineRule="auto"/>
        <w:rPr>
          <w:rFonts w:ascii="Arial" w:eastAsia="Times New Roman" w:hAnsi="Arial" w:cs="Arial"/>
          <w:b/>
          <w:bCs/>
          <w:sz w:val="17"/>
          <w:szCs w:val="17"/>
          <w:lang w:eastAsia="es-ES"/>
        </w:rPr>
      </w:pPr>
      <w:r w:rsidRPr="004F7C6B">
        <w:rPr>
          <w:rFonts w:ascii="Arial" w:eastAsia="Times New Roman" w:hAnsi="Arial" w:cs="Arial"/>
          <w:b/>
          <w:bCs/>
          <w:sz w:val="17"/>
          <w:szCs w:val="17"/>
          <w:lang w:eastAsia="es-ES"/>
        </w:rPr>
        <w:t xml:space="preserve">Convenio Multilateral. Nueva versión de aplicativo SIFERE. Posibilidad de efectuar el pago sin disquete </w:t>
      </w:r>
    </w:p>
    <w:p w:rsidR="004F7C6B" w:rsidRPr="004F7C6B" w:rsidRDefault="004F7C6B" w:rsidP="004F7C6B">
      <w:pPr>
        <w:spacing w:after="0" w:line="240" w:lineRule="auto"/>
        <w:rPr>
          <w:rFonts w:ascii="Arial" w:eastAsia="Times New Roman" w:hAnsi="Arial" w:cs="Arial"/>
          <w:i/>
          <w:iCs/>
          <w:sz w:val="17"/>
          <w:szCs w:val="17"/>
          <w:lang w:eastAsia="es-ES"/>
        </w:rPr>
      </w:pPr>
      <w:r w:rsidRPr="004F7C6B">
        <w:rPr>
          <w:rFonts w:ascii="Arial" w:eastAsia="Times New Roman" w:hAnsi="Arial" w:cs="Arial"/>
          <w:b/>
          <w:bCs/>
          <w:i/>
          <w:iCs/>
          <w:sz w:val="17"/>
          <w:szCs w:val="17"/>
          <w:lang w:eastAsia="es-ES"/>
        </w:rPr>
        <w:t xml:space="preserve">SUMARIO: </w:t>
      </w:r>
      <w:r w:rsidRPr="004F7C6B">
        <w:rPr>
          <w:rFonts w:ascii="Arial" w:eastAsia="Times New Roman" w:hAnsi="Arial" w:cs="Arial"/>
          <w:i/>
          <w:iCs/>
          <w:sz w:val="17"/>
          <w:szCs w:val="17"/>
          <w:lang w:eastAsia="es-ES"/>
        </w:rPr>
        <w:t xml:space="preserve">Se aprueba la Versión 2.0.2 del aplicativo SIFERE - "Sistema Federal de Recaudación de Convenio Multilateral", la misma permite prescindir del uso de disquetes en aquellas presentaciones bancarias efectuadas para abonar gravamen, intereses y multas y resulta de utilización optativa a partir del 1 de setiembre de 2011. </w:t>
      </w:r>
      <w:r w:rsidRPr="004F7C6B">
        <w:rPr>
          <w:rFonts w:ascii="Arial" w:eastAsia="Times New Roman" w:hAnsi="Arial" w:cs="Arial"/>
          <w:i/>
          <w:iCs/>
          <w:sz w:val="17"/>
          <w:szCs w:val="17"/>
          <w:lang w:eastAsia="es-ES"/>
        </w:rPr>
        <w:br/>
        <w:t>Señalamos que el pago sin disquete se efectuará mediante un volante de pago para cada jurisdicción.</w:t>
      </w:r>
    </w:p>
    <w:p w:rsidR="004F7C6B" w:rsidRPr="004F7C6B" w:rsidRDefault="004F7C6B" w:rsidP="004F7C6B">
      <w:pPr>
        <w:spacing w:after="0" w:line="240" w:lineRule="auto"/>
        <w:rPr>
          <w:rFonts w:ascii="Arial" w:eastAsia="Times New Roman" w:hAnsi="Arial" w:cs="Arial"/>
          <w:sz w:val="17"/>
          <w:szCs w:val="17"/>
          <w:lang w:eastAsia="es-ES"/>
        </w:rPr>
      </w:pPr>
      <w:r w:rsidRPr="004F7C6B">
        <w:rPr>
          <w:rFonts w:ascii="Arial" w:eastAsia="Times New Roman" w:hAnsi="Arial" w:cs="Arial"/>
          <w:b/>
          <w:bCs/>
          <w:color w:val="000000"/>
          <w:sz w:val="17"/>
          <w:szCs w:val="17"/>
          <w:lang w:eastAsia="es-ES"/>
        </w:rPr>
        <w:t xml:space="preserve">Fecha de Norma: </w:t>
      </w:r>
      <w:r w:rsidRPr="004F7C6B">
        <w:rPr>
          <w:rFonts w:ascii="Arial" w:eastAsia="Times New Roman" w:hAnsi="Arial" w:cs="Arial"/>
          <w:sz w:val="17"/>
          <w:szCs w:val="17"/>
          <w:lang w:eastAsia="es-ES"/>
        </w:rPr>
        <w:t xml:space="preserve">17/08/2011 </w:t>
      </w:r>
    </w:p>
    <w:p w:rsidR="004F7C6B" w:rsidRPr="004F7C6B" w:rsidRDefault="004F7C6B" w:rsidP="004F7C6B">
      <w:pPr>
        <w:spacing w:after="0" w:line="240" w:lineRule="auto"/>
        <w:rPr>
          <w:rFonts w:ascii="Arial" w:eastAsia="Times New Roman" w:hAnsi="Arial" w:cs="Arial"/>
          <w:sz w:val="17"/>
          <w:szCs w:val="17"/>
          <w:lang w:eastAsia="es-ES"/>
        </w:rPr>
      </w:pPr>
      <w:r w:rsidRPr="004F7C6B">
        <w:rPr>
          <w:rFonts w:ascii="Arial" w:eastAsia="Times New Roman" w:hAnsi="Arial" w:cs="Arial"/>
          <w:b/>
          <w:bCs/>
          <w:color w:val="000000"/>
          <w:sz w:val="17"/>
          <w:szCs w:val="17"/>
          <w:lang w:eastAsia="es-ES"/>
        </w:rPr>
        <w:t xml:space="preserve">Boletín Oficial: </w:t>
      </w:r>
      <w:r w:rsidRPr="004F7C6B">
        <w:rPr>
          <w:rFonts w:ascii="Arial" w:eastAsia="Times New Roman" w:hAnsi="Arial" w:cs="Arial"/>
          <w:sz w:val="17"/>
          <w:szCs w:val="17"/>
          <w:lang w:eastAsia="es-ES"/>
        </w:rPr>
        <w:t xml:space="preserve">23/08/2011 </w:t>
      </w:r>
    </w:p>
    <w:p w:rsidR="004F7C6B" w:rsidRPr="004F7C6B" w:rsidRDefault="004F7C6B" w:rsidP="004F7C6B">
      <w:pPr>
        <w:spacing w:after="0" w:line="240" w:lineRule="auto"/>
        <w:rPr>
          <w:rFonts w:ascii="Arial" w:eastAsia="Times New Roman" w:hAnsi="Arial" w:cs="Arial"/>
          <w:sz w:val="17"/>
          <w:szCs w:val="17"/>
          <w:lang w:eastAsia="es-ES"/>
        </w:rPr>
      </w:pPr>
      <w:r w:rsidRPr="004F7C6B">
        <w:rPr>
          <w:rFonts w:ascii="Arial" w:eastAsia="Times New Roman" w:hAnsi="Arial" w:cs="Arial"/>
          <w:b/>
          <w:bCs/>
          <w:color w:val="000000"/>
          <w:sz w:val="17"/>
          <w:szCs w:val="17"/>
          <w:lang w:eastAsia="es-ES"/>
        </w:rPr>
        <w:t xml:space="preserve">Organismo: </w:t>
      </w:r>
      <w:r w:rsidRPr="004F7C6B">
        <w:rPr>
          <w:rFonts w:ascii="Arial" w:eastAsia="Times New Roman" w:hAnsi="Arial" w:cs="Arial"/>
          <w:sz w:val="17"/>
          <w:szCs w:val="17"/>
          <w:lang w:eastAsia="es-ES"/>
        </w:rPr>
        <w:t xml:space="preserve">Com. Arbitral Convenio Multilateral </w:t>
      </w:r>
    </w:p>
    <w:p w:rsidR="004F7C6B" w:rsidRPr="004F7C6B" w:rsidRDefault="004F7C6B" w:rsidP="004F7C6B">
      <w:pPr>
        <w:spacing w:after="0" w:line="240" w:lineRule="auto"/>
        <w:rPr>
          <w:rFonts w:ascii="Arial" w:eastAsia="Times New Roman" w:hAnsi="Arial" w:cs="Arial"/>
          <w:sz w:val="17"/>
          <w:szCs w:val="17"/>
          <w:lang w:eastAsia="es-ES"/>
        </w:rPr>
      </w:pPr>
      <w:r w:rsidRPr="004F7C6B">
        <w:rPr>
          <w:rFonts w:ascii="Arial" w:eastAsia="Times New Roman" w:hAnsi="Arial" w:cs="Arial"/>
          <w:b/>
          <w:bCs/>
          <w:color w:val="000000"/>
          <w:sz w:val="17"/>
          <w:szCs w:val="17"/>
          <w:lang w:eastAsia="es-ES"/>
        </w:rPr>
        <w:t xml:space="preserve">Jurisdicción: </w:t>
      </w:r>
      <w:r w:rsidRPr="004F7C6B">
        <w:rPr>
          <w:rFonts w:ascii="Arial" w:eastAsia="Times New Roman" w:hAnsi="Arial" w:cs="Arial"/>
          <w:sz w:val="17"/>
          <w:szCs w:val="17"/>
          <w:lang w:eastAsia="es-ES"/>
        </w:rPr>
        <w:t xml:space="preserve">Nacional </w:t>
      </w:r>
    </w:p>
    <w:p w:rsidR="004F7C6B" w:rsidRPr="004F7C6B" w:rsidRDefault="004F7C6B" w:rsidP="004F7C6B">
      <w:pPr>
        <w:spacing w:after="0" w:line="240" w:lineRule="auto"/>
        <w:rPr>
          <w:rFonts w:ascii="Arial" w:eastAsia="Times New Roman" w:hAnsi="Arial" w:cs="Arial"/>
          <w:vanish/>
          <w:sz w:val="17"/>
          <w:szCs w:val="17"/>
          <w:lang w:eastAsia="es-ES"/>
        </w:rPr>
      </w:pPr>
      <w:r w:rsidRPr="004F7C6B">
        <w:rPr>
          <w:rFonts w:ascii="Arial" w:eastAsia="Times New Roman" w:hAnsi="Arial" w:cs="Arial"/>
          <w:b/>
          <w:bCs/>
          <w:vanish/>
          <w:color w:val="000000"/>
          <w:sz w:val="17"/>
          <w:szCs w:val="17"/>
          <w:lang w:eastAsia="es-ES"/>
        </w:rPr>
        <w:t xml:space="preserve">Dictamen: </w:t>
      </w:r>
      <w:r w:rsidRPr="004F7C6B">
        <w:rPr>
          <w:rFonts w:ascii="Arial" w:eastAsia="Times New Roman" w:hAnsi="Arial" w:cs="Arial"/>
          <w:vanish/>
          <w:sz w:val="17"/>
          <w:szCs w:val="17"/>
          <w:lang w:eastAsia="es-ES"/>
        </w:rPr>
        <w:t xml:space="preserve">5/2011 </w:t>
      </w:r>
    </w:p>
    <w:p w:rsidR="004F7C6B" w:rsidRPr="004F7C6B" w:rsidRDefault="004F7C6B" w:rsidP="004F7C6B">
      <w:pPr>
        <w:spacing w:after="0" w:line="240" w:lineRule="auto"/>
        <w:rPr>
          <w:rFonts w:ascii="Arial" w:eastAsia="Times New Roman" w:hAnsi="Arial" w:cs="Arial"/>
          <w:vanish/>
          <w:sz w:val="17"/>
          <w:szCs w:val="17"/>
          <w:lang w:eastAsia="es-ES"/>
        </w:rPr>
      </w:pPr>
      <w:r w:rsidRPr="004F7C6B">
        <w:rPr>
          <w:rFonts w:ascii="Arial" w:eastAsia="Times New Roman" w:hAnsi="Arial" w:cs="Arial"/>
          <w:b/>
          <w:bCs/>
          <w:vanish/>
          <w:color w:val="000000"/>
          <w:sz w:val="17"/>
          <w:szCs w:val="17"/>
          <w:lang w:eastAsia="es-ES"/>
        </w:rPr>
        <w:t xml:space="preserve">Tribunal: </w:t>
      </w:r>
    </w:p>
    <w:p w:rsidR="004F7C6B" w:rsidRPr="004F7C6B" w:rsidRDefault="004F7C6B" w:rsidP="004F7C6B">
      <w:pPr>
        <w:spacing w:after="0" w:line="240" w:lineRule="auto"/>
        <w:rPr>
          <w:rFonts w:ascii="Arial" w:eastAsia="Times New Roman" w:hAnsi="Arial" w:cs="Arial"/>
          <w:vanish/>
          <w:sz w:val="17"/>
          <w:szCs w:val="17"/>
          <w:lang w:eastAsia="es-ES"/>
        </w:rPr>
      </w:pPr>
      <w:r w:rsidRPr="004F7C6B">
        <w:rPr>
          <w:rFonts w:ascii="Arial" w:eastAsia="Times New Roman" w:hAnsi="Arial" w:cs="Arial"/>
          <w:b/>
          <w:bCs/>
          <w:vanish/>
          <w:color w:val="000000"/>
          <w:sz w:val="17"/>
          <w:szCs w:val="17"/>
          <w:lang w:eastAsia="es-ES"/>
        </w:rPr>
        <w:t xml:space="preserve">Parte/s: </w:t>
      </w:r>
    </w:p>
    <w:p w:rsidR="004F7C6B" w:rsidRPr="004F7C6B" w:rsidRDefault="004F7C6B" w:rsidP="004F7C6B">
      <w:pPr>
        <w:spacing w:after="0" w:line="240" w:lineRule="auto"/>
        <w:rPr>
          <w:rFonts w:ascii="Arial" w:eastAsia="Times New Roman" w:hAnsi="Arial" w:cs="Arial"/>
          <w:vanish/>
          <w:sz w:val="17"/>
          <w:szCs w:val="17"/>
          <w:lang w:eastAsia="es-ES"/>
        </w:rPr>
      </w:pPr>
      <w:r w:rsidRPr="004F7C6B">
        <w:rPr>
          <w:rFonts w:ascii="Arial" w:eastAsia="Times New Roman" w:hAnsi="Arial" w:cs="Arial"/>
          <w:b/>
          <w:bCs/>
          <w:vanish/>
          <w:color w:val="000000"/>
          <w:sz w:val="17"/>
          <w:szCs w:val="17"/>
          <w:lang w:eastAsia="es-ES"/>
        </w:rPr>
        <w:t xml:space="preserve">Sala: </w:t>
      </w:r>
    </w:p>
    <w:p w:rsidR="004F7C6B" w:rsidRPr="004F7C6B" w:rsidRDefault="004F7C6B" w:rsidP="004F7C6B">
      <w:pPr>
        <w:spacing w:after="0" w:line="240" w:lineRule="auto"/>
        <w:rPr>
          <w:rFonts w:ascii="Arial" w:eastAsia="Times New Roman" w:hAnsi="Arial" w:cs="Arial"/>
          <w:vanish/>
          <w:sz w:val="17"/>
          <w:szCs w:val="17"/>
          <w:lang w:eastAsia="es-ES"/>
        </w:rPr>
      </w:pPr>
      <w:r w:rsidRPr="004F7C6B">
        <w:rPr>
          <w:rFonts w:ascii="Arial" w:eastAsia="Times New Roman" w:hAnsi="Arial" w:cs="Arial"/>
          <w:b/>
          <w:bCs/>
          <w:vanish/>
          <w:color w:val="000000"/>
          <w:sz w:val="17"/>
          <w:szCs w:val="17"/>
          <w:lang w:eastAsia="es-ES"/>
        </w:rPr>
        <w:t xml:space="preserve">Fecha: </w:t>
      </w:r>
      <w:r w:rsidRPr="004F7C6B">
        <w:rPr>
          <w:rFonts w:ascii="Arial" w:eastAsia="Times New Roman" w:hAnsi="Arial" w:cs="Arial"/>
          <w:vanish/>
          <w:sz w:val="17"/>
          <w:szCs w:val="17"/>
          <w:lang w:eastAsia="es-ES"/>
        </w:rPr>
        <w:t xml:space="preserve">17/08/2011 </w:t>
      </w:r>
    </w:p>
    <w:tbl>
      <w:tblPr>
        <w:tblW w:w="4950" w:type="pct"/>
        <w:jc w:val="center"/>
        <w:tblCellSpacing w:w="15" w:type="dxa"/>
        <w:tblCellMar>
          <w:top w:w="15" w:type="dxa"/>
          <w:left w:w="15" w:type="dxa"/>
          <w:bottom w:w="15" w:type="dxa"/>
          <w:right w:w="15" w:type="dxa"/>
        </w:tblCellMar>
        <w:tblLook w:val="04A0"/>
      </w:tblPr>
      <w:tblGrid>
        <w:gridCol w:w="8508"/>
      </w:tblGrid>
      <w:tr w:rsidR="004F7C6B" w:rsidRPr="004F7C6B" w:rsidTr="004F7C6B">
        <w:trPr>
          <w:tblCellSpacing w:w="15" w:type="dxa"/>
          <w:jc w:val="center"/>
        </w:trPr>
        <w:tc>
          <w:tcPr>
            <w:tcW w:w="0" w:type="auto"/>
            <w:vAlign w:val="center"/>
            <w:hideMark/>
          </w:tcPr>
          <w:p w:rsidR="004F7C6B" w:rsidRPr="004F7C6B" w:rsidRDefault="004F7C6B" w:rsidP="004F7C6B">
            <w:pPr>
              <w:spacing w:before="120" w:after="0" w:line="240" w:lineRule="auto"/>
              <w:jc w:val="both"/>
              <w:rPr>
                <w:rFonts w:ascii="Verdana" w:eastAsia="Times New Roman" w:hAnsi="Verdana" w:cs="Arial"/>
                <w:sz w:val="16"/>
                <w:szCs w:val="16"/>
                <w:lang w:eastAsia="es-ES"/>
              </w:rPr>
            </w:pPr>
            <w:r w:rsidRPr="004F7C6B">
              <w:rPr>
                <w:rFonts w:ascii="Verdana" w:eastAsia="Times New Roman" w:hAnsi="Verdana" w:cs="Arial"/>
                <w:sz w:val="16"/>
                <w:szCs w:val="16"/>
                <w:lang w:eastAsia="es-ES"/>
              </w:rPr>
              <w:t>VISTO:</w:t>
            </w:r>
          </w:p>
          <w:p w:rsidR="004F7C6B" w:rsidRPr="004F7C6B" w:rsidRDefault="004F7C6B" w:rsidP="004F7C6B">
            <w:pPr>
              <w:spacing w:before="80" w:after="0" w:line="240" w:lineRule="auto"/>
              <w:ind w:firstLine="360"/>
              <w:jc w:val="both"/>
              <w:rPr>
                <w:rFonts w:ascii="Verdana" w:eastAsia="Times New Roman" w:hAnsi="Verdana" w:cs="Arial"/>
                <w:sz w:val="16"/>
                <w:szCs w:val="16"/>
                <w:lang w:eastAsia="es-ES"/>
              </w:rPr>
            </w:pPr>
            <w:r w:rsidRPr="004F7C6B">
              <w:rPr>
                <w:rFonts w:ascii="Verdana" w:eastAsia="Times New Roman" w:hAnsi="Verdana" w:cs="Arial"/>
                <w:sz w:val="16"/>
                <w:szCs w:val="16"/>
                <w:lang w:eastAsia="es-ES"/>
              </w:rPr>
              <w:t xml:space="preserve">La resolución general 9/2005 por la que se aprobó el "software" domiciliario "Sistema Federal de Recaudación Convenio Multilateral - </w:t>
            </w:r>
            <w:proofErr w:type="spellStart"/>
            <w:r w:rsidRPr="004F7C6B">
              <w:rPr>
                <w:rFonts w:ascii="Verdana" w:eastAsia="Times New Roman" w:hAnsi="Verdana" w:cs="Arial"/>
                <w:sz w:val="16"/>
                <w:szCs w:val="16"/>
                <w:lang w:eastAsia="es-ES"/>
              </w:rPr>
              <w:t>SiFeRe</w:t>
            </w:r>
            <w:proofErr w:type="spellEnd"/>
            <w:r w:rsidRPr="004F7C6B">
              <w:rPr>
                <w:rFonts w:ascii="Verdana" w:eastAsia="Times New Roman" w:hAnsi="Verdana" w:cs="Arial"/>
                <w:sz w:val="16"/>
                <w:szCs w:val="16"/>
                <w:lang w:eastAsia="es-ES"/>
              </w:rPr>
              <w:t>" para el cumplimiento de los requisitos de presentación de declaraciones juradas, liquidación y/o pago del impuesto sobre los ingresos brutos por parte de los contribuyentes que tributan por el régimen del Convenio Multilateral y la resolución general 6/2007 que aprobó la versión 2 del mencionado aplicativo; y</w:t>
            </w:r>
          </w:p>
          <w:p w:rsidR="004F7C6B" w:rsidRPr="004F7C6B" w:rsidRDefault="004F7C6B" w:rsidP="004F7C6B">
            <w:pPr>
              <w:spacing w:before="120" w:after="0" w:line="240" w:lineRule="auto"/>
              <w:jc w:val="both"/>
              <w:rPr>
                <w:rFonts w:ascii="Verdana" w:eastAsia="Times New Roman" w:hAnsi="Verdana" w:cs="Arial"/>
                <w:sz w:val="16"/>
                <w:szCs w:val="16"/>
                <w:lang w:eastAsia="es-ES"/>
              </w:rPr>
            </w:pPr>
            <w:r w:rsidRPr="004F7C6B">
              <w:rPr>
                <w:rFonts w:ascii="Verdana" w:eastAsia="Times New Roman" w:hAnsi="Verdana" w:cs="Arial"/>
                <w:sz w:val="16"/>
                <w:szCs w:val="16"/>
                <w:lang w:eastAsia="es-ES"/>
              </w:rPr>
              <w:t>CONSIDERANDO:</w:t>
            </w:r>
          </w:p>
          <w:p w:rsidR="004F7C6B" w:rsidRPr="004F7C6B" w:rsidRDefault="004F7C6B" w:rsidP="004F7C6B">
            <w:pPr>
              <w:spacing w:before="80" w:after="0" w:line="240" w:lineRule="auto"/>
              <w:ind w:firstLine="360"/>
              <w:jc w:val="both"/>
              <w:rPr>
                <w:rFonts w:ascii="Verdana" w:eastAsia="Times New Roman" w:hAnsi="Verdana" w:cs="Arial"/>
                <w:sz w:val="16"/>
                <w:szCs w:val="16"/>
                <w:lang w:eastAsia="es-ES"/>
              </w:rPr>
            </w:pPr>
            <w:r w:rsidRPr="004F7C6B">
              <w:rPr>
                <w:rFonts w:ascii="Verdana" w:eastAsia="Times New Roman" w:hAnsi="Verdana" w:cs="Arial"/>
                <w:sz w:val="16"/>
                <w:szCs w:val="16"/>
                <w:lang w:eastAsia="es-ES"/>
              </w:rPr>
              <w:t>Que con la utilización del mencionado "software" domiciliario se ha logrado mayor eficiencia en la captación y explotación de la información por parte de las jurisdicciones adheridas al Convenio Multilateral.</w:t>
            </w:r>
          </w:p>
          <w:p w:rsidR="004F7C6B" w:rsidRPr="004F7C6B" w:rsidRDefault="004F7C6B" w:rsidP="004F7C6B">
            <w:pPr>
              <w:spacing w:before="80" w:after="0" w:line="240" w:lineRule="auto"/>
              <w:ind w:firstLine="360"/>
              <w:jc w:val="both"/>
              <w:rPr>
                <w:rFonts w:ascii="Verdana" w:eastAsia="Times New Roman" w:hAnsi="Verdana" w:cs="Arial"/>
                <w:sz w:val="16"/>
                <w:szCs w:val="16"/>
                <w:lang w:eastAsia="es-ES"/>
              </w:rPr>
            </w:pPr>
            <w:r w:rsidRPr="004F7C6B">
              <w:rPr>
                <w:rFonts w:ascii="Verdana" w:eastAsia="Times New Roman" w:hAnsi="Verdana" w:cs="Arial"/>
                <w:sz w:val="16"/>
                <w:szCs w:val="16"/>
                <w:lang w:eastAsia="es-ES"/>
              </w:rPr>
              <w:t>Que con el espíritu de perfeccionar funcionalmente el aplicativo mencionado y facilitar las tareas relacionadas al cumplimiento de las obligaciones de los contribuyentes se ha estimado conveniente efectuar ajustes a la versión 2 vigente.</w:t>
            </w:r>
          </w:p>
          <w:p w:rsidR="004F7C6B" w:rsidRPr="004F7C6B" w:rsidRDefault="004F7C6B" w:rsidP="004F7C6B">
            <w:pPr>
              <w:spacing w:before="80" w:after="0" w:line="240" w:lineRule="auto"/>
              <w:ind w:firstLine="360"/>
              <w:jc w:val="both"/>
              <w:rPr>
                <w:rFonts w:ascii="Verdana" w:eastAsia="Times New Roman" w:hAnsi="Verdana" w:cs="Arial"/>
                <w:sz w:val="16"/>
                <w:szCs w:val="16"/>
                <w:lang w:eastAsia="es-ES"/>
              </w:rPr>
            </w:pPr>
            <w:r w:rsidRPr="004F7C6B">
              <w:rPr>
                <w:rFonts w:ascii="Verdana" w:eastAsia="Times New Roman" w:hAnsi="Verdana" w:cs="Arial"/>
                <w:sz w:val="16"/>
                <w:szCs w:val="16"/>
                <w:lang w:eastAsia="es-ES"/>
              </w:rPr>
              <w:t xml:space="preserve">Que a tal efecto, por propuesta de las jurisdicciones se ha desarrollado un nuevo </w:t>
            </w:r>
            <w:proofErr w:type="spellStart"/>
            <w:r w:rsidRPr="004F7C6B">
              <w:rPr>
                <w:rFonts w:ascii="Verdana" w:eastAsia="Times New Roman" w:hAnsi="Verdana" w:cs="Arial"/>
                <w:sz w:val="16"/>
                <w:szCs w:val="16"/>
                <w:lang w:eastAsia="es-ES"/>
              </w:rPr>
              <w:t>release</w:t>
            </w:r>
            <w:proofErr w:type="spellEnd"/>
            <w:r w:rsidRPr="004F7C6B">
              <w:rPr>
                <w:rFonts w:ascii="Verdana" w:eastAsia="Times New Roman" w:hAnsi="Verdana" w:cs="Arial"/>
                <w:sz w:val="16"/>
                <w:szCs w:val="16"/>
                <w:lang w:eastAsia="es-ES"/>
              </w:rPr>
              <w:t xml:space="preserve"> de la versión 2 que permite prescindir del uso de disquetes en aquellas presentaciones bancarias efectuadas para abonar el gravamen, intereses y multas, sin perjuicio de continuar posibilitando el pago en las formas vigentes en la actualidad -con disquete o electrónicamente-.</w:t>
            </w:r>
          </w:p>
          <w:p w:rsidR="004F7C6B" w:rsidRPr="004F7C6B" w:rsidRDefault="004F7C6B" w:rsidP="004F7C6B">
            <w:pPr>
              <w:spacing w:before="80" w:after="0" w:line="240" w:lineRule="auto"/>
              <w:ind w:firstLine="360"/>
              <w:jc w:val="both"/>
              <w:rPr>
                <w:rFonts w:ascii="Verdana" w:eastAsia="Times New Roman" w:hAnsi="Verdana" w:cs="Arial"/>
                <w:sz w:val="16"/>
                <w:szCs w:val="16"/>
                <w:lang w:eastAsia="es-ES"/>
              </w:rPr>
            </w:pPr>
            <w:r w:rsidRPr="004F7C6B">
              <w:rPr>
                <w:rFonts w:ascii="Verdana" w:eastAsia="Times New Roman" w:hAnsi="Verdana" w:cs="Arial"/>
                <w:sz w:val="16"/>
                <w:szCs w:val="16"/>
                <w:lang w:eastAsia="es-ES"/>
              </w:rPr>
              <w:t>Que por la naturaleza de los cambios incluidos en el nuevo "</w:t>
            </w:r>
            <w:proofErr w:type="spellStart"/>
            <w:r w:rsidRPr="004F7C6B">
              <w:rPr>
                <w:rFonts w:ascii="Verdana" w:eastAsia="Times New Roman" w:hAnsi="Verdana" w:cs="Arial"/>
                <w:sz w:val="16"/>
                <w:szCs w:val="16"/>
                <w:lang w:eastAsia="es-ES"/>
              </w:rPr>
              <w:t>release</w:t>
            </w:r>
            <w:proofErr w:type="spellEnd"/>
            <w:r w:rsidRPr="004F7C6B">
              <w:rPr>
                <w:rFonts w:ascii="Verdana" w:eastAsia="Times New Roman" w:hAnsi="Verdana" w:cs="Arial"/>
                <w:sz w:val="16"/>
                <w:szCs w:val="16"/>
                <w:lang w:eastAsia="es-ES"/>
              </w:rPr>
              <w:t>" que se aprueba por la presente, se estima conveniente establecer el uso opcional del mismo.</w:t>
            </w:r>
          </w:p>
          <w:p w:rsidR="004F7C6B" w:rsidRPr="004F7C6B" w:rsidRDefault="004F7C6B" w:rsidP="004F7C6B">
            <w:pPr>
              <w:spacing w:before="80" w:after="0" w:line="240" w:lineRule="auto"/>
              <w:ind w:firstLine="360"/>
              <w:jc w:val="both"/>
              <w:rPr>
                <w:rFonts w:ascii="Verdana" w:eastAsia="Times New Roman" w:hAnsi="Verdana" w:cs="Arial"/>
                <w:sz w:val="16"/>
                <w:szCs w:val="16"/>
                <w:lang w:eastAsia="es-ES"/>
              </w:rPr>
            </w:pPr>
            <w:r w:rsidRPr="004F7C6B">
              <w:rPr>
                <w:rFonts w:ascii="Verdana" w:eastAsia="Times New Roman" w:hAnsi="Verdana" w:cs="Arial"/>
                <w:sz w:val="16"/>
                <w:szCs w:val="16"/>
                <w:lang w:eastAsia="es-ES"/>
              </w:rPr>
              <w:t>Que a los fines de brindar en forma inmediata la opción de su utilización se dispone su vigencia, aun cuando existen algunas entidades bancarias que están adaptando sus sistemas para receptar los nuevos formularios generados por el citado "</w:t>
            </w:r>
            <w:proofErr w:type="spellStart"/>
            <w:r w:rsidRPr="004F7C6B">
              <w:rPr>
                <w:rFonts w:ascii="Verdana" w:eastAsia="Times New Roman" w:hAnsi="Verdana" w:cs="Arial"/>
                <w:sz w:val="16"/>
                <w:szCs w:val="16"/>
                <w:lang w:eastAsia="es-ES"/>
              </w:rPr>
              <w:t>release</w:t>
            </w:r>
            <w:proofErr w:type="spellEnd"/>
            <w:r w:rsidRPr="004F7C6B">
              <w:rPr>
                <w:rFonts w:ascii="Verdana" w:eastAsia="Times New Roman" w:hAnsi="Verdana" w:cs="Arial"/>
                <w:sz w:val="16"/>
                <w:szCs w:val="16"/>
                <w:lang w:eastAsia="es-ES"/>
              </w:rPr>
              <w:t>".</w:t>
            </w:r>
          </w:p>
          <w:p w:rsidR="004F7C6B" w:rsidRPr="004F7C6B" w:rsidRDefault="004F7C6B" w:rsidP="004F7C6B">
            <w:pPr>
              <w:spacing w:before="120" w:after="0" w:line="240" w:lineRule="auto"/>
              <w:jc w:val="both"/>
              <w:rPr>
                <w:rFonts w:ascii="Verdana" w:eastAsia="Times New Roman" w:hAnsi="Verdana" w:cs="Arial"/>
                <w:sz w:val="16"/>
                <w:szCs w:val="16"/>
                <w:lang w:eastAsia="es-ES"/>
              </w:rPr>
            </w:pPr>
            <w:r w:rsidRPr="004F7C6B">
              <w:rPr>
                <w:rFonts w:ascii="Verdana" w:eastAsia="Times New Roman" w:hAnsi="Verdana" w:cs="Arial"/>
                <w:sz w:val="16"/>
                <w:szCs w:val="16"/>
                <w:lang w:eastAsia="es-ES"/>
              </w:rPr>
              <w:t>Por ello,</w:t>
            </w:r>
          </w:p>
          <w:p w:rsidR="004F7C6B" w:rsidRPr="004F7C6B" w:rsidRDefault="004F7C6B" w:rsidP="004F7C6B">
            <w:pPr>
              <w:spacing w:before="200" w:after="100" w:line="240" w:lineRule="auto"/>
              <w:jc w:val="center"/>
              <w:rPr>
                <w:rFonts w:ascii="Verdana" w:eastAsia="Times New Roman" w:hAnsi="Verdana" w:cs="Arial"/>
                <w:sz w:val="16"/>
                <w:szCs w:val="16"/>
                <w:lang w:eastAsia="es-ES"/>
              </w:rPr>
            </w:pPr>
            <w:r w:rsidRPr="004F7C6B">
              <w:rPr>
                <w:rFonts w:ascii="Verdana" w:eastAsia="Times New Roman" w:hAnsi="Verdana" w:cs="Arial"/>
                <w:sz w:val="16"/>
                <w:szCs w:val="16"/>
                <w:lang w:eastAsia="es-ES"/>
              </w:rPr>
              <w:t>LA COMISIÓN ARBITRAL</w:t>
            </w:r>
          </w:p>
          <w:p w:rsidR="004F7C6B" w:rsidRPr="004F7C6B" w:rsidRDefault="004F7C6B" w:rsidP="004F7C6B">
            <w:pPr>
              <w:spacing w:before="200" w:after="100" w:line="240" w:lineRule="auto"/>
              <w:jc w:val="center"/>
              <w:rPr>
                <w:rFonts w:ascii="Verdana" w:eastAsia="Times New Roman" w:hAnsi="Verdana" w:cs="Arial"/>
                <w:sz w:val="16"/>
                <w:szCs w:val="16"/>
                <w:lang w:eastAsia="es-ES"/>
              </w:rPr>
            </w:pPr>
            <w:r w:rsidRPr="004F7C6B">
              <w:rPr>
                <w:rFonts w:ascii="Verdana" w:eastAsia="Times New Roman" w:hAnsi="Verdana" w:cs="Arial"/>
                <w:sz w:val="16"/>
                <w:szCs w:val="16"/>
                <w:lang w:eastAsia="es-ES"/>
              </w:rPr>
              <w:t>(CONVENIO MULTILATERAL DEL 18/8/1977)</w:t>
            </w:r>
          </w:p>
          <w:p w:rsidR="004F7C6B" w:rsidRPr="004F7C6B" w:rsidRDefault="004F7C6B" w:rsidP="004F7C6B">
            <w:pPr>
              <w:spacing w:before="200" w:after="100" w:line="240" w:lineRule="auto"/>
              <w:jc w:val="center"/>
              <w:rPr>
                <w:rFonts w:ascii="Verdana" w:eastAsia="Times New Roman" w:hAnsi="Verdana" w:cs="Arial"/>
                <w:sz w:val="16"/>
                <w:szCs w:val="16"/>
                <w:lang w:eastAsia="es-ES"/>
              </w:rPr>
            </w:pPr>
            <w:r w:rsidRPr="004F7C6B">
              <w:rPr>
                <w:rFonts w:ascii="Verdana" w:eastAsia="Times New Roman" w:hAnsi="Verdana" w:cs="Arial"/>
                <w:sz w:val="16"/>
                <w:szCs w:val="16"/>
                <w:lang w:eastAsia="es-ES"/>
              </w:rPr>
              <w:t>RESUELVE:</w:t>
            </w:r>
          </w:p>
          <w:p w:rsidR="004F7C6B" w:rsidRPr="004F7C6B" w:rsidRDefault="004F7C6B" w:rsidP="004F7C6B">
            <w:pPr>
              <w:spacing w:after="0" w:line="240" w:lineRule="auto"/>
              <w:jc w:val="both"/>
              <w:rPr>
                <w:rFonts w:ascii="Verdana" w:eastAsia="Times New Roman" w:hAnsi="Verdana" w:cs="Arial"/>
                <w:sz w:val="16"/>
                <w:szCs w:val="16"/>
                <w:lang w:eastAsia="es-ES"/>
              </w:rPr>
            </w:pPr>
            <w:r w:rsidRPr="004F7C6B">
              <w:rPr>
                <w:rFonts w:ascii="Verdana" w:eastAsia="Times New Roman" w:hAnsi="Verdana" w:cs="Arial"/>
                <w:b/>
                <w:bCs/>
                <w:sz w:val="16"/>
                <w:lang w:eastAsia="es-ES"/>
              </w:rPr>
              <w:t xml:space="preserve">Art. </w:t>
            </w:r>
            <w:r w:rsidRPr="004F7C6B">
              <w:rPr>
                <w:rFonts w:ascii="Verdana" w:eastAsia="Times New Roman" w:hAnsi="Verdana" w:cs="Arial"/>
                <w:b/>
                <w:bCs/>
                <w:sz w:val="16"/>
                <w:szCs w:val="16"/>
                <w:lang w:eastAsia="es-ES"/>
              </w:rPr>
              <w:t>1</w:t>
            </w:r>
            <w:r w:rsidRPr="004F7C6B">
              <w:rPr>
                <w:rFonts w:ascii="Verdana" w:eastAsia="Times New Roman" w:hAnsi="Verdana" w:cs="Arial"/>
                <w:sz w:val="16"/>
                <w:szCs w:val="16"/>
                <w:lang w:eastAsia="es-ES"/>
              </w:rPr>
              <w:t xml:space="preserve"> - Aprobar la versión 2.0.2 del aplicativo domiciliario </w:t>
            </w:r>
            <w:proofErr w:type="spellStart"/>
            <w:r w:rsidRPr="004F7C6B">
              <w:rPr>
                <w:rFonts w:ascii="Verdana" w:eastAsia="Times New Roman" w:hAnsi="Verdana" w:cs="Arial"/>
                <w:sz w:val="16"/>
                <w:szCs w:val="16"/>
                <w:lang w:eastAsia="es-ES"/>
              </w:rPr>
              <w:t>SiFeRe</w:t>
            </w:r>
            <w:proofErr w:type="spellEnd"/>
            <w:r w:rsidRPr="004F7C6B">
              <w:rPr>
                <w:rFonts w:ascii="Verdana" w:eastAsia="Times New Roman" w:hAnsi="Verdana" w:cs="Arial"/>
                <w:sz w:val="16"/>
                <w:szCs w:val="16"/>
                <w:lang w:eastAsia="es-ES"/>
              </w:rPr>
              <w:t xml:space="preserve"> - "Sistema Federal de Recaudación de Convenio Multilateral" para los contribuyentes del impuesto sobre los ingresos brutos comprendidos en el régimen del Convenio Multilateral. Este aplicativo será de uso opcional a partir del día 1 de setiembre de 2011 y estará disponible para su descarga en la página Web de la Comisión Arbitral (www.ca.gov.ar), apartado Sistemas, en el "link" </w:t>
            </w:r>
            <w:proofErr w:type="spellStart"/>
            <w:r w:rsidRPr="004F7C6B">
              <w:rPr>
                <w:rFonts w:ascii="Verdana" w:eastAsia="Times New Roman" w:hAnsi="Verdana" w:cs="Arial"/>
                <w:sz w:val="16"/>
                <w:szCs w:val="16"/>
                <w:lang w:eastAsia="es-ES"/>
              </w:rPr>
              <w:t>SiFeRe</w:t>
            </w:r>
            <w:proofErr w:type="spellEnd"/>
            <w:r w:rsidRPr="004F7C6B">
              <w:rPr>
                <w:rFonts w:ascii="Verdana" w:eastAsia="Times New Roman" w:hAnsi="Verdana" w:cs="Arial"/>
                <w:sz w:val="16"/>
                <w:szCs w:val="16"/>
                <w:lang w:eastAsia="es-ES"/>
              </w:rPr>
              <w:t>.</w:t>
            </w:r>
          </w:p>
          <w:p w:rsidR="004F7C6B" w:rsidRPr="004F7C6B" w:rsidRDefault="004F7C6B" w:rsidP="004F7C6B">
            <w:pPr>
              <w:spacing w:after="0" w:line="240" w:lineRule="auto"/>
              <w:jc w:val="both"/>
              <w:rPr>
                <w:rFonts w:ascii="Verdana" w:eastAsia="Times New Roman" w:hAnsi="Verdana" w:cs="Arial"/>
                <w:sz w:val="16"/>
                <w:szCs w:val="16"/>
                <w:lang w:eastAsia="es-ES"/>
              </w:rPr>
            </w:pPr>
            <w:r w:rsidRPr="004F7C6B">
              <w:rPr>
                <w:rFonts w:ascii="Verdana" w:eastAsia="Times New Roman" w:hAnsi="Verdana" w:cs="Arial"/>
                <w:b/>
                <w:bCs/>
                <w:sz w:val="16"/>
                <w:lang w:eastAsia="es-ES"/>
              </w:rPr>
              <w:t xml:space="preserve">Art. </w:t>
            </w:r>
            <w:r w:rsidRPr="004F7C6B">
              <w:rPr>
                <w:rFonts w:ascii="Verdana" w:eastAsia="Times New Roman" w:hAnsi="Verdana" w:cs="Arial"/>
                <w:b/>
                <w:bCs/>
                <w:sz w:val="16"/>
                <w:szCs w:val="16"/>
                <w:lang w:eastAsia="es-ES"/>
              </w:rPr>
              <w:t>2</w:t>
            </w:r>
            <w:r w:rsidRPr="004F7C6B">
              <w:rPr>
                <w:rFonts w:ascii="Verdana" w:eastAsia="Times New Roman" w:hAnsi="Verdana" w:cs="Arial"/>
                <w:sz w:val="16"/>
                <w:szCs w:val="16"/>
                <w:lang w:eastAsia="es-ES"/>
              </w:rPr>
              <w:t xml:space="preserve"> - El pago sin disquete se materializará a través de la emisión de un "volante de pago" por cada jurisdicción, el cual estará identificado con el número de formulario que se indica a continuación, según sea el caso:</w:t>
            </w:r>
          </w:p>
          <w:p w:rsidR="004F7C6B" w:rsidRPr="004F7C6B" w:rsidRDefault="004F7C6B" w:rsidP="004F7C6B">
            <w:pPr>
              <w:spacing w:before="80" w:after="0" w:line="240" w:lineRule="auto"/>
              <w:ind w:firstLine="360"/>
              <w:jc w:val="both"/>
              <w:rPr>
                <w:rFonts w:ascii="Verdana" w:eastAsia="Times New Roman" w:hAnsi="Verdana" w:cs="Arial"/>
                <w:sz w:val="16"/>
                <w:szCs w:val="16"/>
                <w:lang w:eastAsia="es-ES"/>
              </w:rPr>
            </w:pPr>
            <w:r w:rsidRPr="004F7C6B">
              <w:rPr>
                <w:rFonts w:ascii="Verdana" w:eastAsia="Times New Roman" w:hAnsi="Verdana" w:cs="Arial"/>
                <w:sz w:val="16"/>
                <w:szCs w:val="16"/>
                <w:lang w:eastAsia="es-ES"/>
              </w:rPr>
              <w:t>Formulario 5859: solo pago.</w:t>
            </w:r>
          </w:p>
          <w:p w:rsidR="004F7C6B" w:rsidRPr="004F7C6B" w:rsidRDefault="004F7C6B" w:rsidP="004F7C6B">
            <w:pPr>
              <w:spacing w:before="80" w:after="0" w:line="240" w:lineRule="auto"/>
              <w:ind w:firstLine="360"/>
              <w:jc w:val="both"/>
              <w:rPr>
                <w:rFonts w:ascii="Verdana" w:eastAsia="Times New Roman" w:hAnsi="Verdana" w:cs="Arial"/>
                <w:sz w:val="16"/>
                <w:szCs w:val="16"/>
                <w:lang w:eastAsia="es-ES"/>
              </w:rPr>
            </w:pPr>
            <w:r w:rsidRPr="004F7C6B">
              <w:rPr>
                <w:rFonts w:ascii="Verdana" w:eastAsia="Times New Roman" w:hAnsi="Verdana" w:cs="Arial"/>
                <w:sz w:val="16"/>
                <w:szCs w:val="16"/>
                <w:lang w:eastAsia="es-ES"/>
              </w:rPr>
              <w:t>Formulario 5860: volante de pago de intereses.</w:t>
            </w:r>
          </w:p>
          <w:p w:rsidR="004F7C6B" w:rsidRPr="004F7C6B" w:rsidRDefault="004F7C6B" w:rsidP="004F7C6B">
            <w:pPr>
              <w:spacing w:before="80" w:after="0" w:line="240" w:lineRule="auto"/>
              <w:ind w:firstLine="360"/>
              <w:jc w:val="both"/>
              <w:rPr>
                <w:rFonts w:ascii="Verdana" w:eastAsia="Times New Roman" w:hAnsi="Verdana" w:cs="Arial"/>
                <w:sz w:val="16"/>
                <w:szCs w:val="16"/>
                <w:lang w:eastAsia="es-ES"/>
              </w:rPr>
            </w:pPr>
            <w:r w:rsidRPr="004F7C6B">
              <w:rPr>
                <w:rFonts w:ascii="Verdana" w:eastAsia="Times New Roman" w:hAnsi="Verdana" w:cs="Arial"/>
                <w:sz w:val="16"/>
                <w:szCs w:val="16"/>
                <w:lang w:eastAsia="es-ES"/>
              </w:rPr>
              <w:t>Formulario 5861: volante de pago de multas.</w:t>
            </w:r>
          </w:p>
          <w:p w:rsidR="004F7C6B" w:rsidRPr="004F7C6B" w:rsidRDefault="004F7C6B" w:rsidP="004F7C6B">
            <w:pPr>
              <w:spacing w:before="80" w:after="0" w:line="240" w:lineRule="auto"/>
              <w:ind w:firstLine="360"/>
              <w:jc w:val="both"/>
              <w:rPr>
                <w:rFonts w:ascii="Verdana" w:eastAsia="Times New Roman" w:hAnsi="Verdana" w:cs="Arial"/>
                <w:sz w:val="16"/>
                <w:szCs w:val="16"/>
                <w:lang w:eastAsia="es-ES"/>
              </w:rPr>
            </w:pPr>
            <w:r w:rsidRPr="004F7C6B">
              <w:rPr>
                <w:rFonts w:ascii="Verdana" w:eastAsia="Times New Roman" w:hAnsi="Verdana" w:cs="Arial"/>
                <w:sz w:val="16"/>
                <w:szCs w:val="16"/>
                <w:lang w:eastAsia="es-ES"/>
              </w:rPr>
              <w:t>El pago debe efectuarse ante las entidades recaudadoras habilitadas conforme el listado que se publique en el sitio Web mencionado en el artículo anterior.</w:t>
            </w:r>
          </w:p>
          <w:p w:rsidR="004F7C6B" w:rsidRPr="004F7C6B" w:rsidRDefault="004F7C6B" w:rsidP="004F7C6B">
            <w:pPr>
              <w:spacing w:after="0" w:line="240" w:lineRule="auto"/>
              <w:jc w:val="both"/>
              <w:rPr>
                <w:rFonts w:ascii="Verdana" w:eastAsia="Times New Roman" w:hAnsi="Verdana" w:cs="Arial"/>
                <w:sz w:val="16"/>
                <w:szCs w:val="16"/>
                <w:lang w:eastAsia="es-ES"/>
              </w:rPr>
            </w:pPr>
            <w:r w:rsidRPr="004F7C6B">
              <w:rPr>
                <w:rFonts w:ascii="Verdana" w:eastAsia="Times New Roman" w:hAnsi="Verdana" w:cs="Arial"/>
                <w:b/>
                <w:bCs/>
                <w:sz w:val="16"/>
                <w:lang w:eastAsia="es-ES"/>
              </w:rPr>
              <w:t xml:space="preserve">Art. </w:t>
            </w:r>
            <w:r w:rsidRPr="004F7C6B">
              <w:rPr>
                <w:rFonts w:ascii="Verdana" w:eastAsia="Times New Roman" w:hAnsi="Verdana" w:cs="Arial"/>
                <w:b/>
                <w:bCs/>
                <w:sz w:val="16"/>
                <w:szCs w:val="16"/>
                <w:lang w:eastAsia="es-ES"/>
              </w:rPr>
              <w:t>3</w:t>
            </w:r>
            <w:r w:rsidRPr="004F7C6B">
              <w:rPr>
                <w:rFonts w:ascii="Verdana" w:eastAsia="Times New Roman" w:hAnsi="Verdana" w:cs="Arial"/>
                <w:sz w:val="16"/>
                <w:szCs w:val="16"/>
                <w:lang w:eastAsia="es-ES"/>
              </w:rPr>
              <w:t xml:space="preserve"> - Dejar establecido que en el </w:t>
            </w:r>
            <w:proofErr w:type="spellStart"/>
            <w:r w:rsidRPr="004F7C6B">
              <w:rPr>
                <w:rFonts w:ascii="Verdana" w:eastAsia="Times New Roman" w:hAnsi="Verdana" w:cs="Arial"/>
                <w:sz w:val="16"/>
                <w:szCs w:val="16"/>
                <w:lang w:eastAsia="es-ES"/>
              </w:rPr>
              <w:t>release</w:t>
            </w:r>
            <w:proofErr w:type="spellEnd"/>
            <w:r w:rsidRPr="004F7C6B">
              <w:rPr>
                <w:rFonts w:ascii="Verdana" w:eastAsia="Times New Roman" w:hAnsi="Verdana" w:cs="Arial"/>
                <w:sz w:val="16"/>
                <w:szCs w:val="16"/>
                <w:lang w:eastAsia="es-ES"/>
              </w:rPr>
              <w:t xml:space="preserve"> aprobado por la presente se mantiene la posibilidad de pago del gravamen, intereses y multas ante las entidades bancarias con disquete o a través de transferencia electrónica (VEP).</w:t>
            </w:r>
          </w:p>
          <w:p w:rsidR="004F7C6B" w:rsidRPr="004F7C6B" w:rsidRDefault="004F7C6B" w:rsidP="004F7C6B">
            <w:pPr>
              <w:spacing w:after="0" w:line="240" w:lineRule="auto"/>
              <w:jc w:val="both"/>
              <w:rPr>
                <w:rFonts w:ascii="Verdana" w:eastAsia="Times New Roman" w:hAnsi="Verdana" w:cs="Arial"/>
                <w:sz w:val="16"/>
                <w:szCs w:val="16"/>
                <w:lang w:eastAsia="es-ES"/>
              </w:rPr>
            </w:pPr>
            <w:r w:rsidRPr="004F7C6B">
              <w:rPr>
                <w:rFonts w:ascii="Verdana" w:eastAsia="Times New Roman" w:hAnsi="Verdana" w:cs="Arial"/>
                <w:b/>
                <w:bCs/>
                <w:sz w:val="16"/>
                <w:lang w:eastAsia="es-ES"/>
              </w:rPr>
              <w:t xml:space="preserve">Art. </w:t>
            </w:r>
            <w:r w:rsidRPr="004F7C6B">
              <w:rPr>
                <w:rFonts w:ascii="Verdana" w:eastAsia="Times New Roman" w:hAnsi="Verdana" w:cs="Arial"/>
                <w:b/>
                <w:bCs/>
                <w:sz w:val="16"/>
                <w:szCs w:val="16"/>
                <w:lang w:eastAsia="es-ES"/>
              </w:rPr>
              <w:t>4</w:t>
            </w:r>
            <w:r w:rsidRPr="004F7C6B">
              <w:rPr>
                <w:rFonts w:ascii="Verdana" w:eastAsia="Times New Roman" w:hAnsi="Verdana" w:cs="Arial"/>
                <w:sz w:val="16"/>
                <w:szCs w:val="16"/>
                <w:lang w:eastAsia="es-ES"/>
              </w:rPr>
              <w:t xml:space="preserve"> - De forma.</w:t>
            </w:r>
          </w:p>
          <w:p w:rsidR="004F7C6B" w:rsidRPr="004F7C6B" w:rsidRDefault="004F7C6B" w:rsidP="004F7C6B">
            <w:pPr>
              <w:spacing w:before="100" w:beforeAutospacing="1" w:after="100" w:afterAutospacing="1" w:line="240" w:lineRule="auto"/>
              <w:jc w:val="center"/>
              <w:rPr>
                <w:rFonts w:ascii="Arial" w:eastAsia="Times New Roman" w:hAnsi="Arial" w:cs="Arial"/>
                <w:sz w:val="17"/>
                <w:szCs w:val="17"/>
                <w:lang w:eastAsia="es-ES"/>
              </w:rPr>
            </w:pPr>
            <w:r w:rsidRPr="004F7C6B">
              <w:rPr>
                <w:rFonts w:ascii="Arial" w:eastAsia="Times New Roman" w:hAnsi="Arial" w:cs="Arial"/>
                <w:sz w:val="17"/>
                <w:szCs w:val="17"/>
                <w:lang w:eastAsia="es-ES"/>
              </w:rPr>
              <w:t> </w:t>
            </w:r>
          </w:p>
        </w:tc>
      </w:tr>
    </w:tbl>
    <w:p w:rsidR="004F7C6B" w:rsidRPr="004F7C6B" w:rsidRDefault="004F7C6B" w:rsidP="004F7C6B">
      <w:pPr>
        <w:spacing w:after="0" w:line="240" w:lineRule="auto"/>
        <w:rPr>
          <w:rFonts w:ascii="Arial" w:eastAsia="Times New Roman" w:hAnsi="Arial" w:cs="Arial"/>
          <w:vanish/>
          <w:sz w:val="17"/>
          <w:szCs w:val="17"/>
          <w:lang w:eastAsia="es-ES"/>
        </w:rPr>
      </w:pPr>
    </w:p>
    <w:tbl>
      <w:tblPr>
        <w:tblW w:w="5000" w:type="pct"/>
        <w:tblCellSpacing w:w="0" w:type="dxa"/>
        <w:tblCellMar>
          <w:left w:w="0" w:type="dxa"/>
          <w:right w:w="0" w:type="dxa"/>
        </w:tblCellMar>
        <w:tblLook w:val="04A0"/>
      </w:tblPr>
      <w:tblGrid>
        <w:gridCol w:w="750"/>
        <w:gridCol w:w="7754"/>
      </w:tblGrid>
      <w:tr w:rsidR="004F7C6B" w:rsidRPr="004F7C6B" w:rsidTr="004F7C6B">
        <w:trPr>
          <w:tblCellSpacing w:w="0" w:type="dxa"/>
        </w:trPr>
        <w:tc>
          <w:tcPr>
            <w:tcW w:w="750" w:type="dxa"/>
            <w:vAlign w:val="center"/>
            <w:hideMark/>
          </w:tcPr>
          <w:p w:rsidR="004F7C6B" w:rsidRPr="004F7C6B" w:rsidRDefault="004F7C6B" w:rsidP="004F7C6B">
            <w:pPr>
              <w:spacing w:after="0" w:line="240" w:lineRule="auto"/>
              <w:jc w:val="center"/>
              <w:rPr>
                <w:rFonts w:ascii="Arial" w:eastAsia="Times New Roman" w:hAnsi="Arial" w:cs="Arial"/>
                <w:sz w:val="17"/>
                <w:szCs w:val="17"/>
                <w:lang w:eastAsia="es-ES"/>
              </w:rPr>
            </w:pPr>
            <w:r>
              <w:rPr>
                <w:rFonts w:ascii="Arial" w:eastAsia="Times New Roman" w:hAnsi="Arial" w:cs="Arial"/>
                <w:noProof/>
                <w:sz w:val="17"/>
                <w:szCs w:val="17"/>
                <w:lang w:eastAsia="es-ES"/>
              </w:rPr>
              <w:lastRenderedPageBreak/>
              <w:drawing>
                <wp:inline distT="0" distB="0" distL="0" distR="0">
                  <wp:extent cx="304800" cy="276225"/>
                  <wp:effectExtent l="19050" t="0" r="0" b="0"/>
                  <wp:docPr id="4" name="Imagen 4" descr="http://eol2.errepar.com/eol/Novedades/img/logo_foot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eol2.errepar.com/eol/Novedades/img/logo_footer.png"/>
                          <pic:cNvPicPr>
                            <a:picLocks noChangeAspect="1" noChangeArrowheads="1"/>
                          </pic:cNvPicPr>
                        </pic:nvPicPr>
                        <pic:blipFill>
                          <a:blip r:embed="rId7"/>
                          <a:srcRect/>
                          <a:stretch>
                            <a:fillRect/>
                          </a:stretch>
                        </pic:blipFill>
                        <pic:spPr bwMode="auto">
                          <a:xfrm>
                            <a:off x="0" y="0"/>
                            <a:ext cx="304800" cy="276225"/>
                          </a:xfrm>
                          <a:prstGeom prst="rect">
                            <a:avLst/>
                          </a:prstGeom>
                          <a:noFill/>
                          <a:ln w="9525">
                            <a:noFill/>
                            <a:miter lim="800000"/>
                            <a:headEnd/>
                            <a:tailEnd/>
                          </a:ln>
                        </pic:spPr>
                      </pic:pic>
                    </a:graphicData>
                  </a:graphic>
                </wp:inline>
              </w:drawing>
            </w:r>
          </w:p>
        </w:tc>
        <w:tc>
          <w:tcPr>
            <w:tcW w:w="0" w:type="auto"/>
            <w:vAlign w:val="center"/>
            <w:hideMark/>
          </w:tcPr>
          <w:p w:rsidR="004F7C6B" w:rsidRPr="004F7C6B" w:rsidRDefault="004F7C6B" w:rsidP="004F7C6B">
            <w:pPr>
              <w:spacing w:after="0" w:line="240" w:lineRule="auto"/>
              <w:rPr>
                <w:rFonts w:ascii="Arial" w:eastAsia="Times New Roman" w:hAnsi="Arial" w:cs="Arial"/>
                <w:sz w:val="17"/>
                <w:szCs w:val="17"/>
                <w:lang w:eastAsia="es-ES"/>
              </w:rPr>
            </w:pPr>
            <w:proofErr w:type="spellStart"/>
            <w:r w:rsidRPr="004F7C6B">
              <w:rPr>
                <w:rFonts w:ascii="Tahoma" w:eastAsia="Times New Roman" w:hAnsi="Tahoma" w:cs="Tahoma"/>
                <w:b/>
                <w:bCs/>
                <w:sz w:val="20"/>
                <w:szCs w:val="20"/>
                <w:lang w:eastAsia="es-ES"/>
              </w:rPr>
              <w:t>Errepar</w:t>
            </w:r>
            <w:proofErr w:type="spellEnd"/>
            <w:r w:rsidRPr="004F7C6B">
              <w:rPr>
                <w:rFonts w:ascii="Tahoma" w:eastAsia="Times New Roman" w:hAnsi="Tahoma" w:cs="Tahoma"/>
                <w:b/>
                <w:bCs/>
                <w:sz w:val="20"/>
                <w:szCs w:val="20"/>
                <w:lang w:eastAsia="es-ES"/>
              </w:rPr>
              <w:t xml:space="preserve"> Online</w:t>
            </w:r>
            <w:r w:rsidRPr="004F7C6B">
              <w:rPr>
                <w:rFonts w:ascii="Tahoma" w:eastAsia="Times New Roman" w:hAnsi="Tahoma" w:cs="Tahoma"/>
                <w:b/>
                <w:bCs/>
                <w:sz w:val="20"/>
                <w:szCs w:val="20"/>
                <w:lang w:eastAsia="es-ES"/>
              </w:rPr>
              <w:br/>
            </w:r>
            <w:r w:rsidRPr="004F7C6B">
              <w:rPr>
                <w:rFonts w:ascii="Tahoma" w:eastAsia="Times New Roman" w:hAnsi="Tahoma" w:cs="Tahoma"/>
                <w:sz w:val="20"/>
                <w:szCs w:val="20"/>
                <w:lang w:eastAsia="es-ES"/>
              </w:rPr>
              <w:t xml:space="preserve">Visítenos en </w:t>
            </w:r>
            <w:hyperlink r:id="rId8" w:history="1">
              <w:r w:rsidRPr="004F7C6B">
                <w:rPr>
                  <w:rFonts w:ascii="Tahoma" w:eastAsia="Times New Roman" w:hAnsi="Tahoma" w:cs="Tahoma"/>
                  <w:color w:val="008000"/>
                  <w:sz w:val="20"/>
                  <w:lang w:eastAsia="es-ES"/>
                </w:rPr>
                <w:t>http://www.errepar.com/</w:t>
              </w:r>
            </w:hyperlink>
            <w:r w:rsidRPr="004F7C6B">
              <w:rPr>
                <w:rFonts w:ascii="Arial" w:eastAsia="Times New Roman" w:hAnsi="Arial" w:cs="Arial"/>
                <w:sz w:val="17"/>
                <w:szCs w:val="17"/>
                <w:lang w:eastAsia="es-ES"/>
              </w:rPr>
              <w:t xml:space="preserve"> </w:t>
            </w:r>
          </w:p>
        </w:tc>
      </w:tr>
    </w:tbl>
    <w:p w:rsidR="00E05D82" w:rsidRDefault="00E05D82"/>
    <w:sectPr w:rsidR="00E05D82" w:rsidSect="00E05D82">
      <w:pgSz w:w="11906" w:h="16838"/>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4F7C6B"/>
    <w:rsid w:val="004F7C6B"/>
    <w:rsid w:val="00E05D82"/>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05D82"/>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semiHidden/>
    <w:unhideWhenUsed/>
    <w:rsid w:val="004F7C6B"/>
    <w:rPr>
      <w:strike w:val="0"/>
      <w:dstrike w:val="0"/>
      <w:color w:val="008000"/>
      <w:u w:val="none"/>
      <w:effect w:val="none"/>
    </w:rPr>
  </w:style>
  <w:style w:type="paragraph" w:styleId="NormalWeb">
    <w:name w:val="Normal (Web)"/>
    <w:basedOn w:val="Normal"/>
    <w:uiPriority w:val="99"/>
    <w:unhideWhenUsed/>
    <w:rsid w:val="004F7C6B"/>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sangrianovedades">
    <w:name w:val="sangrianovedades"/>
    <w:basedOn w:val="Normal"/>
    <w:rsid w:val="004F7C6B"/>
    <w:pPr>
      <w:spacing w:before="80" w:after="0" w:line="240" w:lineRule="auto"/>
      <w:ind w:firstLine="360"/>
      <w:jc w:val="both"/>
    </w:pPr>
    <w:rPr>
      <w:rFonts w:ascii="Verdana" w:eastAsia="Times New Roman" w:hAnsi="Verdana" w:cs="Times New Roman"/>
      <w:sz w:val="16"/>
      <w:szCs w:val="16"/>
      <w:lang w:eastAsia="es-ES"/>
    </w:rPr>
  </w:style>
  <w:style w:type="paragraph" w:customStyle="1" w:styleId="textocentradonovedades">
    <w:name w:val="textocentradonovedades"/>
    <w:basedOn w:val="Normal"/>
    <w:rsid w:val="004F7C6B"/>
    <w:pPr>
      <w:spacing w:before="200" w:after="100" w:line="240" w:lineRule="auto"/>
      <w:jc w:val="center"/>
    </w:pPr>
    <w:rPr>
      <w:rFonts w:ascii="Verdana" w:eastAsia="Times New Roman" w:hAnsi="Verdana" w:cs="Times New Roman"/>
      <w:sz w:val="16"/>
      <w:szCs w:val="16"/>
      <w:lang w:eastAsia="es-ES"/>
    </w:rPr>
  </w:style>
  <w:style w:type="paragraph" w:customStyle="1" w:styleId="textonovedades">
    <w:name w:val="textonovedades"/>
    <w:basedOn w:val="Normal"/>
    <w:rsid w:val="004F7C6B"/>
    <w:pPr>
      <w:spacing w:before="120" w:after="0" w:line="240" w:lineRule="auto"/>
      <w:jc w:val="both"/>
    </w:pPr>
    <w:rPr>
      <w:rFonts w:ascii="Verdana" w:eastAsia="Times New Roman" w:hAnsi="Verdana" w:cs="Times New Roman"/>
      <w:sz w:val="16"/>
      <w:szCs w:val="16"/>
      <w:lang w:eastAsia="es-ES"/>
    </w:rPr>
  </w:style>
  <w:style w:type="character" w:customStyle="1" w:styleId="negritanovedades2">
    <w:name w:val="negritanovedades2"/>
    <w:basedOn w:val="Fuentedeprrafopredeter"/>
    <w:rsid w:val="004F7C6B"/>
    <w:rPr>
      <w:rFonts w:ascii="Verdana" w:hAnsi="Verdana" w:hint="default"/>
      <w:b/>
      <w:bCs/>
      <w:sz w:val="16"/>
      <w:szCs w:val="16"/>
    </w:rPr>
  </w:style>
  <w:style w:type="character" w:customStyle="1" w:styleId="artculo">
    <w:name w:val="artículo"/>
    <w:basedOn w:val="Fuentedeprrafopredeter"/>
    <w:rsid w:val="004F7C6B"/>
  </w:style>
  <w:style w:type="paragraph" w:styleId="Textodeglobo">
    <w:name w:val="Balloon Text"/>
    <w:basedOn w:val="Normal"/>
    <w:link w:val="TextodegloboCar"/>
    <w:uiPriority w:val="99"/>
    <w:semiHidden/>
    <w:unhideWhenUsed/>
    <w:rsid w:val="004F7C6B"/>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4F7C6B"/>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577594954">
      <w:bodyDiv w:val="1"/>
      <w:marLeft w:val="0"/>
      <w:marRight w:val="0"/>
      <w:marTop w:val="0"/>
      <w:marBottom w:val="0"/>
      <w:divBdr>
        <w:top w:val="none" w:sz="0" w:space="0" w:color="auto"/>
        <w:left w:val="none" w:sz="0" w:space="0" w:color="auto"/>
        <w:bottom w:val="none" w:sz="0" w:space="0" w:color="auto"/>
        <w:right w:val="none" w:sz="0" w:space="0" w:color="auto"/>
      </w:divBdr>
      <w:divsChild>
        <w:div w:id="594285864">
          <w:marLeft w:val="0"/>
          <w:marRight w:val="0"/>
          <w:marTop w:val="0"/>
          <w:marBottom w:val="0"/>
          <w:divBdr>
            <w:top w:val="none" w:sz="0" w:space="0" w:color="auto"/>
            <w:left w:val="none" w:sz="0" w:space="0" w:color="auto"/>
            <w:bottom w:val="none" w:sz="0" w:space="0" w:color="auto"/>
            <w:right w:val="none" w:sz="0" w:space="0" w:color="auto"/>
          </w:divBdr>
        </w:div>
        <w:div w:id="1849830709">
          <w:marLeft w:val="0"/>
          <w:marRight w:val="0"/>
          <w:marTop w:val="0"/>
          <w:marBottom w:val="0"/>
          <w:divBdr>
            <w:top w:val="none" w:sz="0" w:space="0" w:color="auto"/>
            <w:left w:val="none" w:sz="0" w:space="0" w:color="auto"/>
            <w:bottom w:val="none" w:sz="0" w:space="0" w:color="auto"/>
            <w:right w:val="none" w:sz="0" w:space="0" w:color="auto"/>
          </w:divBdr>
          <w:divsChild>
            <w:div w:id="447166124">
              <w:marLeft w:val="0"/>
              <w:marRight w:val="0"/>
              <w:marTop w:val="0"/>
              <w:marBottom w:val="0"/>
              <w:divBdr>
                <w:top w:val="none" w:sz="0" w:space="0" w:color="auto"/>
                <w:left w:val="none" w:sz="0" w:space="0" w:color="auto"/>
                <w:bottom w:val="none" w:sz="0" w:space="0" w:color="auto"/>
                <w:right w:val="none" w:sz="0" w:space="0" w:color="auto"/>
              </w:divBdr>
            </w:div>
            <w:div w:id="2108111447">
              <w:marLeft w:val="0"/>
              <w:marRight w:val="0"/>
              <w:marTop w:val="75"/>
              <w:marBottom w:val="0"/>
              <w:divBdr>
                <w:top w:val="none" w:sz="0" w:space="0" w:color="auto"/>
                <w:left w:val="none" w:sz="0" w:space="0" w:color="auto"/>
                <w:bottom w:val="none" w:sz="0" w:space="0" w:color="auto"/>
                <w:right w:val="none" w:sz="0" w:space="0" w:color="auto"/>
              </w:divBdr>
            </w:div>
            <w:div w:id="772243411">
              <w:marLeft w:val="0"/>
              <w:marRight w:val="0"/>
              <w:marTop w:val="150"/>
              <w:marBottom w:val="0"/>
              <w:divBdr>
                <w:top w:val="single" w:sz="12" w:space="5" w:color="000000"/>
                <w:left w:val="none" w:sz="0" w:space="0" w:color="auto"/>
                <w:bottom w:val="single" w:sz="12" w:space="5" w:color="000000"/>
                <w:right w:val="none" w:sz="0" w:space="0" w:color="auto"/>
              </w:divBdr>
            </w:div>
            <w:div w:id="713040161">
              <w:marLeft w:val="0"/>
              <w:marRight w:val="0"/>
              <w:marTop w:val="0"/>
              <w:marBottom w:val="0"/>
              <w:divBdr>
                <w:top w:val="none" w:sz="0" w:space="0" w:color="auto"/>
                <w:left w:val="none" w:sz="0" w:space="0" w:color="auto"/>
                <w:bottom w:val="single" w:sz="12" w:space="4" w:color="000000"/>
                <w:right w:val="none" w:sz="0" w:space="0" w:color="auto"/>
              </w:divBdr>
              <w:divsChild>
                <w:div w:id="2067793505">
                  <w:marLeft w:val="0"/>
                  <w:marRight w:val="0"/>
                  <w:marTop w:val="0"/>
                  <w:marBottom w:val="0"/>
                  <w:divBdr>
                    <w:top w:val="none" w:sz="0" w:space="0" w:color="auto"/>
                    <w:left w:val="none" w:sz="0" w:space="0" w:color="auto"/>
                    <w:bottom w:val="none" w:sz="0" w:space="0" w:color="auto"/>
                    <w:right w:val="none" w:sz="0" w:space="0" w:color="auto"/>
                  </w:divBdr>
                </w:div>
                <w:div w:id="1001928944">
                  <w:marLeft w:val="0"/>
                  <w:marRight w:val="0"/>
                  <w:marTop w:val="0"/>
                  <w:marBottom w:val="0"/>
                  <w:divBdr>
                    <w:top w:val="none" w:sz="0" w:space="0" w:color="auto"/>
                    <w:left w:val="none" w:sz="0" w:space="0" w:color="auto"/>
                    <w:bottom w:val="none" w:sz="0" w:space="0" w:color="auto"/>
                    <w:right w:val="none" w:sz="0" w:space="0" w:color="auto"/>
                  </w:divBdr>
                </w:div>
                <w:div w:id="1719355178">
                  <w:marLeft w:val="0"/>
                  <w:marRight w:val="0"/>
                  <w:marTop w:val="0"/>
                  <w:marBottom w:val="0"/>
                  <w:divBdr>
                    <w:top w:val="none" w:sz="0" w:space="0" w:color="auto"/>
                    <w:left w:val="none" w:sz="0" w:space="0" w:color="auto"/>
                    <w:bottom w:val="none" w:sz="0" w:space="0" w:color="auto"/>
                    <w:right w:val="none" w:sz="0" w:space="0" w:color="auto"/>
                  </w:divBdr>
                </w:div>
                <w:div w:id="1075934406">
                  <w:marLeft w:val="0"/>
                  <w:marRight w:val="0"/>
                  <w:marTop w:val="0"/>
                  <w:marBottom w:val="0"/>
                  <w:divBdr>
                    <w:top w:val="none" w:sz="0" w:space="0" w:color="auto"/>
                    <w:left w:val="none" w:sz="0" w:space="0" w:color="auto"/>
                    <w:bottom w:val="none" w:sz="0" w:space="0" w:color="auto"/>
                    <w:right w:val="none" w:sz="0" w:space="0" w:color="auto"/>
                  </w:divBdr>
                </w:div>
                <w:div w:id="64958955">
                  <w:marLeft w:val="0"/>
                  <w:marRight w:val="0"/>
                  <w:marTop w:val="0"/>
                  <w:marBottom w:val="0"/>
                  <w:divBdr>
                    <w:top w:val="none" w:sz="0" w:space="0" w:color="auto"/>
                    <w:left w:val="none" w:sz="0" w:space="0" w:color="auto"/>
                    <w:bottom w:val="none" w:sz="0" w:space="0" w:color="auto"/>
                    <w:right w:val="none" w:sz="0" w:space="0" w:color="auto"/>
                  </w:divBdr>
                </w:div>
                <w:div w:id="290790954">
                  <w:marLeft w:val="0"/>
                  <w:marRight w:val="0"/>
                  <w:marTop w:val="0"/>
                  <w:marBottom w:val="0"/>
                  <w:divBdr>
                    <w:top w:val="none" w:sz="0" w:space="0" w:color="auto"/>
                    <w:left w:val="none" w:sz="0" w:space="0" w:color="auto"/>
                    <w:bottom w:val="none" w:sz="0" w:space="0" w:color="auto"/>
                    <w:right w:val="none" w:sz="0" w:space="0" w:color="auto"/>
                  </w:divBdr>
                </w:div>
                <w:div w:id="808941298">
                  <w:marLeft w:val="0"/>
                  <w:marRight w:val="0"/>
                  <w:marTop w:val="0"/>
                  <w:marBottom w:val="0"/>
                  <w:divBdr>
                    <w:top w:val="none" w:sz="0" w:space="0" w:color="auto"/>
                    <w:left w:val="none" w:sz="0" w:space="0" w:color="auto"/>
                    <w:bottom w:val="none" w:sz="0" w:space="0" w:color="auto"/>
                    <w:right w:val="none" w:sz="0" w:space="0" w:color="auto"/>
                  </w:divBdr>
                </w:div>
                <w:div w:id="1525049289">
                  <w:marLeft w:val="0"/>
                  <w:marRight w:val="0"/>
                  <w:marTop w:val="0"/>
                  <w:marBottom w:val="0"/>
                  <w:divBdr>
                    <w:top w:val="none" w:sz="0" w:space="0" w:color="auto"/>
                    <w:left w:val="none" w:sz="0" w:space="0" w:color="auto"/>
                    <w:bottom w:val="none" w:sz="0" w:space="0" w:color="auto"/>
                    <w:right w:val="none" w:sz="0" w:space="0" w:color="auto"/>
                  </w:divBdr>
                </w:div>
                <w:div w:id="849416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248810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errepar.com" TargetMode="External"/><Relationship Id="rId3" Type="http://schemas.openxmlformats.org/officeDocument/2006/relationships/webSettings" Target="webSettings.xml"/><Relationship Id="rId7" Type="http://schemas.openxmlformats.org/officeDocument/2006/relationships/image" Target="media/image3.pn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2.gif"/><Relationship Id="rId5" Type="http://schemas.openxmlformats.org/officeDocument/2006/relationships/hyperlink" Target="javascript:imprimirPantalla()" TargetMode="External"/><Relationship Id="rId10" Type="http://schemas.openxmlformats.org/officeDocument/2006/relationships/theme" Target="theme/theme1.xml"/><Relationship Id="rId4" Type="http://schemas.openxmlformats.org/officeDocument/2006/relationships/image" Target="media/image1.jpeg"/><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596</Words>
  <Characters>3284</Characters>
  <Application>Microsoft Office Word</Application>
  <DocSecurity>0</DocSecurity>
  <Lines>27</Lines>
  <Paragraphs>7</Paragraphs>
  <ScaleCrop>false</ScaleCrop>
  <Company/>
  <LinksUpToDate>false</LinksUpToDate>
  <CharactersWithSpaces>3873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Juan Moreno</dc:creator>
  <cp:lastModifiedBy>Juan Moreno</cp:lastModifiedBy>
  <cp:revision>1</cp:revision>
  <dcterms:created xsi:type="dcterms:W3CDTF">2011-08-24T13:16:00Z</dcterms:created>
  <dcterms:modified xsi:type="dcterms:W3CDTF">2011-08-24T13:16:00Z</dcterms:modified>
</cp:coreProperties>
</file>