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04CE" w:rsidRP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fldChar w:fldCharType="begin"/>
      </w:r>
      <w:r w:rsidRPr="003704CE">
        <w:rPr>
          <w:rFonts w:ascii="Helvetica" w:eastAsia="Times New Roman" w:hAnsi="Helvetica" w:cs="Helvetica"/>
          <w:color w:val="555555"/>
          <w:sz w:val="20"/>
          <w:szCs w:val="20"/>
          <w:lang w:eastAsia="es-ES"/>
        </w:rPr>
        <w:instrText xml:space="preserve"> HYPERLINK "http://www.ca.gov.ar/faqs/preguntas-generales/sifere/sirpei" </w:instrText>
      </w:r>
      <w:r w:rsidRPr="003704CE">
        <w:rPr>
          <w:rFonts w:ascii="Helvetica" w:eastAsia="Times New Roman" w:hAnsi="Helvetica" w:cs="Helvetica"/>
          <w:color w:val="555555"/>
          <w:sz w:val="20"/>
          <w:szCs w:val="20"/>
          <w:lang w:eastAsia="es-ES"/>
        </w:rPr>
        <w:fldChar w:fldCharType="separate"/>
      </w:r>
      <w:r w:rsidRPr="003704CE">
        <w:rPr>
          <w:rFonts w:ascii="Helvetica" w:eastAsia="Times New Roman" w:hAnsi="Helvetica" w:cs="Helvetica"/>
          <w:b/>
          <w:bCs/>
          <w:color w:val="3B5998"/>
          <w:sz w:val="21"/>
          <w:szCs w:val="21"/>
          <w:lang w:eastAsia="es-ES"/>
        </w:rPr>
        <w:t xml:space="preserve">Qué es el SIRPEI? </w:t>
      </w:r>
      <w:r w:rsidRPr="003704CE">
        <w:rPr>
          <w:rFonts w:ascii="Helvetica" w:eastAsia="Times New Roman" w:hAnsi="Helvetica" w:cs="Helvetica"/>
          <w:b/>
          <w:bCs/>
          <w:color w:val="666666"/>
          <w:sz w:val="18"/>
          <w:szCs w:val="18"/>
          <w:lang w:eastAsia="es-ES"/>
        </w:rPr>
        <w:br/>
        <w:t>Evento 59</w:t>
      </w:r>
      <w:r w:rsidRPr="003704CE">
        <w:rPr>
          <w:rFonts w:ascii="Helvetica" w:eastAsia="Times New Roman" w:hAnsi="Helvetica" w:cs="Helvetica"/>
          <w:color w:val="555555"/>
          <w:sz w:val="20"/>
          <w:szCs w:val="20"/>
          <w:lang w:eastAsia="es-ES"/>
        </w:rPr>
        <w:fldChar w:fldCharType="end"/>
      </w:r>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El SIRPEI </w:t>
      </w:r>
      <w:r w:rsidRPr="003704CE">
        <w:rPr>
          <w:rFonts w:ascii="Helvetica" w:eastAsia="Times New Roman" w:hAnsi="Helvetica" w:cs="Helvetica"/>
          <w:i/>
          <w:iCs/>
          <w:color w:val="555555"/>
          <w:sz w:val="20"/>
          <w:szCs w:val="20"/>
          <w:lang w:eastAsia="es-ES"/>
        </w:rPr>
        <w:t>(Sistema del Régimen de Percepciones de Importaciones)</w:t>
      </w:r>
      <w:r w:rsidRPr="003704CE">
        <w:rPr>
          <w:rFonts w:ascii="Helvetica" w:eastAsia="Times New Roman" w:hAnsi="Helvetica" w:cs="Helvetica"/>
          <w:color w:val="555555"/>
          <w:sz w:val="20"/>
          <w:szCs w:val="20"/>
          <w:lang w:eastAsia="es-ES"/>
        </w:rPr>
        <w:t> es un sistema de recaudación de las percepciones que deben practicarse en concepto del Impuesto sobre los Ingresos Brutos en las operaciones de importación definitiva a consumo de mercaderías que ingresen al territorio aduanero, efectuadas por contribuyentes del gravamen y registrados por el </w:t>
      </w:r>
      <w:r w:rsidRPr="003704CE">
        <w:rPr>
          <w:rFonts w:ascii="Helvetica" w:eastAsia="Times New Roman" w:hAnsi="Helvetica" w:cs="Helvetica"/>
          <w:i/>
          <w:iCs/>
          <w:color w:val="555555"/>
          <w:sz w:val="20"/>
          <w:szCs w:val="20"/>
          <w:lang w:eastAsia="es-ES"/>
        </w:rPr>
        <w:t>Sistema Informático MARIA (S.I.M.)</w:t>
      </w:r>
      <w:r w:rsidRPr="003704CE">
        <w:rPr>
          <w:rFonts w:ascii="Helvetica" w:eastAsia="Times New Roman" w:hAnsi="Helvetica" w:cs="Helvetica"/>
          <w:color w:val="555555"/>
          <w:sz w:val="20"/>
          <w:szCs w:val="20"/>
          <w:lang w:eastAsia="es-ES"/>
        </w:rPr>
        <w:t>, de la Dirección General de Aduanas dependiente de la AFIP.</w:t>
      </w:r>
    </w:p>
    <w:p w:rsidR="003704CE" w:rsidRP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r>
        <w:rPr>
          <w:rFonts w:ascii="Helvetica" w:eastAsia="Times New Roman" w:hAnsi="Helvetica" w:cs="Helvetica"/>
          <w:color w:val="555555"/>
          <w:sz w:val="20"/>
          <w:szCs w:val="20"/>
          <w:lang w:eastAsia="es-ES"/>
        </w:rPr>
        <w:br/>
      </w:r>
      <w:hyperlink r:id="rId4" w:history="1">
        <w:r w:rsidRPr="003704CE">
          <w:rPr>
            <w:rFonts w:ascii="Helvetica" w:eastAsia="Times New Roman" w:hAnsi="Helvetica" w:cs="Helvetica"/>
            <w:b/>
            <w:bCs/>
            <w:color w:val="3B5998"/>
            <w:sz w:val="21"/>
            <w:szCs w:val="21"/>
            <w:lang w:eastAsia="es-ES"/>
          </w:rPr>
          <w:t>Qué jurisdicciones se han adherido a este Sistema</w:t>
        </w:r>
        <w:proofErr w:type="gramStart"/>
        <w:r w:rsidRPr="003704CE">
          <w:rPr>
            <w:rFonts w:ascii="Helvetica" w:eastAsia="Times New Roman" w:hAnsi="Helvetica" w:cs="Helvetica"/>
            <w:b/>
            <w:bCs/>
            <w:color w:val="3B5998"/>
            <w:sz w:val="21"/>
            <w:szCs w:val="21"/>
            <w:lang w:eastAsia="es-ES"/>
          </w:rPr>
          <w:t>?</w:t>
        </w:r>
        <w:proofErr w:type="gramEnd"/>
        <w:r w:rsidRPr="003704CE">
          <w:rPr>
            <w:rFonts w:ascii="Helvetica" w:eastAsia="Times New Roman" w:hAnsi="Helvetica" w:cs="Helvetica"/>
            <w:b/>
            <w:bCs/>
            <w:color w:val="3B5998"/>
            <w:sz w:val="21"/>
            <w:szCs w:val="21"/>
            <w:lang w:eastAsia="es-ES"/>
          </w:rPr>
          <w:t xml:space="preserve"> </w:t>
        </w:r>
        <w:r w:rsidRPr="003704CE">
          <w:rPr>
            <w:rFonts w:ascii="Helvetica" w:eastAsia="Times New Roman" w:hAnsi="Helvetica" w:cs="Helvetica"/>
            <w:b/>
            <w:bCs/>
            <w:color w:val="666666"/>
            <w:sz w:val="18"/>
            <w:szCs w:val="18"/>
            <w:lang w:eastAsia="es-ES"/>
          </w:rPr>
          <w:br/>
          <w:t>Evento 60</w:t>
        </w:r>
      </w:hyperlink>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Actualmente, están adheridas al </w:t>
      </w:r>
      <w:r w:rsidRPr="003704CE">
        <w:rPr>
          <w:rFonts w:ascii="Helvetica" w:eastAsia="Times New Roman" w:hAnsi="Helvetica" w:cs="Helvetica"/>
          <w:i/>
          <w:iCs/>
          <w:color w:val="555555"/>
          <w:sz w:val="20"/>
          <w:szCs w:val="20"/>
          <w:lang w:eastAsia="es-ES"/>
        </w:rPr>
        <w:t>SIRPEI las 23 provincias argentinas y la Ciudad Autónoma de Buenos Aires</w:t>
      </w:r>
      <w:r w:rsidRPr="003704CE">
        <w:rPr>
          <w:rFonts w:ascii="Helvetica" w:eastAsia="Times New Roman" w:hAnsi="Helvetica" w:cs="Helvetica"/>
          <w:color w:val="555555"/>
          <w:sz w:val="20"/>
          <w:szCs w:val="20"/>
          <w:lang w:eastAsia="es-ES"/>
        </w:rPr>
        <w:t>.</w:t>
      </w:r>
    </w:p>
    <w:p w:rsid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p>
    <w:p w:rsidR="003704CE" w:rsidRP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hyperlink r:id="rId5" w:history="1">
        <w:r w:rsidRPr="003704CE">
          <w:rPr>
            <w:rFonts w:ascii="Helvetica" w:eastAsia="Times New Roman" w:hAnsi="Helvetica" w:cs="Helvetica"/>
            <w:b/>
            <w:bCs/>
            <w:color w:val="3B5998"/>
            <w:sz w:val="21"/>
            <w:szCs w:val="21"/>
            <w:lang w:eastAsia="es-ES"/>
          </w:rPr>
          <w:t xml:space="preserve">¿A qué contribuyentes alcanza el SIRPEI? </w:t>
        </w:r>
        <w:r w:rsidRPr="003704CE">
          <w:rPr>
            <w:rFonts w:ascii="Helvetica" w:eastAsia="Times New Roman" w:hAnsi="Helvetica" w:cs="Helvetica"/>
            <w:b/>
            <w:bCs/>
            <w:color w:val="666666"/>
            <w:sz w:val="18"/>
            <w:szCs w:val="18"/>
            <w:lang w:eastAsia="es-ES"/>
          </w:rPr>
          <w:br/>
        </w:r>
        <w:bookmarkStart w:id="0" w:name="_GoBack"/>
        <w:bookmarkEnd w:id="0"/>
        <w:r w:rsidRPr="003704CE">
          <w:rPr>
            <w:rFonts w:ascii="Helvetica" w:eastAsia="Times New Roman" w:hAnsi="Helvetica" w:cs="Helvetica"/>
            <w:b/>
            <w:bCs/>
            <w:color w:val="666666"/>
            <w:sz w:val="18"/>
            <w:szCs w:val="18"/>
            <w:lang w:eastAsia="es-ES"/>
          </w:rPr>
          <w:t>Evento 61</w:t>
        </w:r>
      </w:hyperlink>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Serán sujetos pasibles de la percepción aquellos declarantes que registren destinaciones de importación para consumo. Sujetos que se hallen inscriptos en el Impuesto sobre los Ingresos Brutos en alguna jurisdicción que haya adherido al régimen de percepción.</w:t>
      </w:r>
    </w:p>
    <w:p w:rsidR="003704CE" w:rsidRPr="003704CE" w:rsidRDefault="003704CE" w:rsidP="003704CE">
      <w:pPr>
        <w:shd w:val="clear" w:color="auto" w:fill="F0F2F7"/>
        <w:spacing w:line="240" w:lineRule="auto"/>
        <w:rPr>
          <w:rFonts w:ascii="Helvetica" w:eastAsia="Times New Roman" w:hAnsi="Helvetica" w:cs="Helvetica"/>
          <w:color w:val="555555"/>
          <w:sz w:val="20"/>
          <w:szCs w:val="20"/>
          <w:lang w:eastAsia="es-ES"/>
        </w:rPr>
      </w:pPr>
      <w:r>
        <w:rPr>
          <w:rFonts w:ascii="Helvetica" w:eastAsia="Times New Roman" w:hAnsi="Helvetica" w:cs="Helvetica"/>
          <w:color w:val="555555"/>
          <w:sz w:val="20"/>
          <w:szCs w:val="20"/>
          <w:lang w:eastAsia="es-ES"/>
        </w:rPr>
        <w:br/>
      </w:r>
      <w:hyperlink r:id="rId6" w:history="1">
        <w:r w:rsidRPr="003704CE">
          <w:rPr>
            <w:rFonts w:ascii="Helvetica" w:eastAsia="Times New Roman" w:hAnsi="Helvetica" w:cs="Helvetica"/>
            <w:b/>
            <w:bCs/>
            <w:color w:val="3B5998"/>
            <w:sz w:val="21"/>
            <w:szCs w:val="21"/>
            <w:lang w:eastAsia="es-ES"/>
          </w:rPr>
          <w:t xml:space="preserve">¿Cómo cargar los coeficientes de distribución en el Sistema? </w:t>
        </w:r>
        <w:r w:rsidRPr="003704CE">
          <w:rPr>
            <w:rFonts w:ascii="Helvetica" w:eastAsia="Times New Roman" w:hAnsi="Helvetica" w:cs="Helvetica"/>
            <w:b/>
            <w:bCs/>
            <w:color w:val="666666"/>
            <w:sz w:val="18"/>
            <w:szCs w:val="18"/>
            <w:lang w:eastAsia="es-ES"/>
          </w:rPr>
          <w:br/>
          <w:t>Evento 65</w:t>
        </w:r>
      </w:hyperlink>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En el </w:t>
      </w:r>
      <w:r w:rsidRPr="003704CE">
        <w:rPr>
          <w:rFonts w:ascii="Helvetica" w:eastAsia="Times New Roman" w:hAnsi="Helvetica" w:cs="Helvetica"/>
          <w:i/>
          <w:iCs/>
          <w:color w:val="555555"/>
          <w:sz w:val="20"/>
          <w:szCs w:val="20"/>
          <w:lang w:eastAsia="es-ES"/>
        </w:rPr>
        <w:t>Sistema MARIA</w:t>
      </w:r>
      <w:r w:rsidRPr="003704CE">
        <w:rPr>
          <w:rFonts w:ascii="Helvetica" w:eastAsia="Times New Roman" w:hAnsi="Helvetica" w:cs="Helvetica"/>
          <w:color w:val="555555"/>
          <w:sz w:val="20"/>
          <w:szCs w:val="20"/>
          <w:lang w:eastAsia="es-ES"/>
        </w:rPr>
        <w:t>, el contribuyente (o su despachante) carga las jurisdicciones en las cuales tiene actividad y sus respectivos coeficientes. Luego, en el comprobante del despacho aparecen detalladas las jurisdicciones que se incluyeron con sus respectivos coeficientes.</w:t>
      </w:r>
    </w:p>
    <w:p w:rsidR="003704CE" w:rsidRP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r>
        <w:rPr>
          <w:rFonts w:ascii="Helvetica" w:eastAsia="Times New Roman" w:hAnsi="Helvetica" w:cs="Helvetica"/>
          <w:color w:val="555555"/>
          <w:sz w:val="20"/>
          <w:szCs w:val="20"/>
          <w:lang w:eastAsia="es-ES"/>
        </w:rPr>
        <w:br/>
      </w:r>
      <w:hyperlink r:id="rId7" w:history="1">
        <w:r w:rsidRPr="003704CE">
          <w:rPr>
            <w:rFonts w:ascii="Helvetica" w:eastAsia="Times New Roman" w:hAnsi="Helvetica" w:cs="Helvetica"/>
            <w:b/>
            <w:bCs/>
            <w:color w:val="3B5998"/>
            <w:sz w:val="21"/>
            <w:szCs w:val="21"/>
            <w:lang w:eastAsia="es-ES"/>
          </w:rPr>
          <w:t xml:space="preserve">¿Qué coeficientes se deben utilizar para la distribución si aún no se tiene coeficiente por inicio de actividad en IIBB - CM o se tiene actividades con artículo distinto al 2? </w:t>
        </w:r>
        <w:r w:rsidRPr="003704CE">
          <w:rPr>
            <w:rFonts w:ascii="Helvetica" w:eastAsia="Times New Roman" w:hAnsi="Helvetica" w:cs="Helvetica"/>
            <w:b/>
            <w:bCs/>
            <w:color w:val="666666"/>
            <w:sz w:val="18"/>
            <w:szCs w:val="18"/>
            <w:lang w:eastAsia="es-ES"/>
          </w:rPr>
          <w:br/>
          <w:t>Evento 66</w:t>
        </w:r>
      </w:hyperlink>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En el caso de que la empresa contribuyente aún no tenga coeficiente porque no presentó nunca una Declaración Anual, se recomienda armar un coeficiente donde las percepciones vayan de forma proporcional a las jurisdicciones, en la misma proporción en la cual se dispuso la última DDJJ Mensual presentada; es decir, con el mismo criterio que el art. 14 del Convenio Multilateral o con la distribución del artículo de la actividad </w:t>
      </w:r>
      <w:r w:rsidRPr="003704CE">
        <w:rPr>
          <w:rFonts w:ascii="Helvetica" w:eastAsia="Times New Roman" w:hAnsi="Helvetica" w:cs="Helvetica"/>
          <w:i/>
          <w:iCs/>
          <w:color w:val="555555"/>
          <w:sz w:val="20"/>
          <w:szCs w:val="20"/>
          <w:lang w:eastAsia="es-ES"/>
        </w:rPr>
        <w:t>(si el artículo es distinto al 2)</w:t>
      </w:r>
      <w:r w:rsidRPr="003704CE">
        <w:rPr>
          <w:rFonts w:ascii="Helvetica" w:eastAsia="Times New Roman" w:hAnsi="Helvetica" w:cs="Helvetica"/>
          <w:color w:val="555555"/>
          <w:sz w:val="20"/>
          <w:szCs w:val="20"/>
          <w:lang w:eastAsia="es-ES"/>
        </w:rPr>
        <w:t>.</w:t>
      </w:r>
    </w:p>
    <w:p w:rsidR="003704CE" w:rsidRPr="003704CE" w:rsidRDefault="003704CE" w:rsidP="003704CE">
      <w:pPr>
        <w:shd w:val="clear" w:color="auto" w:fill="FFFFFF"/>
        <w:spacing w:after="0" w:line="240" w:lineRule="auto"/>
        <w:rPr>
          <w:rFonts w:ascii="Helvetica" w:eastAsia="Times New Roman" w:hAnsi="Helvetica" w:cs="Helvetica"/>
          <w:color w:val="555555"/>
          <w:sz w:val="20"/>
          <w:szCs w:val="20"/>
          <w:lang w:eastAsia="es-ES"/>
        </w:rPr>
      </w:pPr>
      <w:r>
        <w:rPr>
          <w:rFonts w:ascii="Helvetica" w:eastAsia="Times New Roman" w:hAnsi="Helvetica" w:cs="Helvetica"/>
          <w:color w:val="555555"/>
          <w:sz w:val="20"/>
          <w:szCs w:val="20"/>
          <w:lang w:eastAsia="es-ES"/>
        </w:rPr>
        <w:br/>
      </w:r>
      <w:hyperlink r:id="rId8" w:history="1">
        <w:r w:rsidRPr="003704CE">
          <w:rPr>
            <w:rFonts w:ascii="Helvetica" w:eastAsia="Times New Roman" w:hAnsi="Helvetica" w:cs="Helvetica"/>
            <w:b/>
            <w:bCs/>
            <w:color w:val="3B5998"/>
            <w:sz w:val="21"/>
            <w:szCs w:val="21"/>
            <w:lang w:eastAsia="es-ES"/>
          </w:rPr>
          <w:t xml:space="preserve">¿Cómo se tramita un Certificado de Exención? </w:t>
        </w:r>
        <w:r w:rsidRPr="003704CE">
          <w:rPr>
            <w:rFonts w:ascii="Helvetica" w:eastAsia="Times New Roman" w:hAnsi="Helvetica" w:cs="Helvetica"/>
            <w:b/>
            <w:bCs/>
            <w:color w:val="666666"/>
            <w:sz w:val="18"/>
            <w:szCs w:val="18"/>
            <w:lang w:eastAsia="es-ES"/>
          </w:rPr>
          <w:br/>
          <w:t>Evento 68</w:t>
        </w:r>
      </w:hyperlink>
    </w:p>
    <w:p w:rsidR="003704CE" w:rsidRPr="003704CE" w:rsidRDefault="003704CE" w:rsidP="003704CE">
      <w:pPr>
        <w:shd w:val="clear" w:color="auto" w:fill="FFFFFF"/>
        <w:spacing w:after="150" w:line="240" w:lineRule="auto"/>
        <w:rPr>
          <w:rFonts w:ascii="Helvetica" w:eastAsia="Times New Roman" w:hAnsi="Helvetica" w:cs="Helvetica"/>
          <w:color w:val="555555"/>
          <w:sz w:val="20"/>
          <w:szCs w:val="20"/>
          <w:lang w:eastAsia="es-ES"/>
        </w:rPr>
      </w:pPr>
      <w:r w:rsidRPr="003704CE">
        <w:rPr>
          <w:rFonts w:ascii="Helvetica" w:eastAsia="Times New Roman" w:hAnsi="Helvetica" w:cs="Helvetica"/>
          <w:color w:val="555555"/>
          <w:sz w:val="20"/>
          <w:szCs w:val="20"/>
          <w:lang w:eastAsia="es-ES"/>
        </w:rPr>
        <w:t>Los certificados de exención son otorgados y administrados por cada fisco en forma individual, por lo tanto debe comunicarse con la jurisdicción correspondiente para realizar su consulta.</w:t>
      </w:r>
    </w:p>
    <w:p w:rsidR="00BF5806" w:rsidRDefault="00BF5806"/>
    <w:sectPr w:rsidR="00BF580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Helvetica">
    <w:panose1 w:val="00000400000000000000"/>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4CE"/>
    <w:rsid w:val="003704CE"/>
    <w:rsid w:val="00BF58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BA1109-4F9B-404D-85B1-BB39D053B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3704CE"/>
    <w:rPr>
      <w:color w:val="0000FF"/>
      <w:u w:val="single"/>
    </w:rPr>
  </w:style>
  <w:style w:type="character" w:customStyle="1" w:styleId="topicfaqtogglequestion">
    <w:name w:val="topic_faqtogglequestion"/>
    <w:basedOn w:val="Fuentedeprrafopredeter"/>
    <w:rsid w:val="003704CE"/>
  </w:style>
  <w:style w:type="paragraph" w:styleId="NormalWeb">
    <w:name w:val="Normal (Web)"/>
    <w:basedOn w:val="Normal"/>
    <w:uiPriority w:val="99"/>
    <w:semiHidden/>
    <w:unhideWhenUsed/>
    <w:rsid w:val="003704C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3704CE"/>
  </w:style>
  <w:style w:type="character" w:styleId="nfasis">
    <w:name w:val="Emphasis"/>
    <w:basedOn w:val="Fuentedeprrafopredeter"/>
    <w:uiPriority w:val="20"/>
    <w:qFormat/>
    <w:rsid w:val="003704CE"/>
    <w:rPr>
      <w:i/>
      <w:iCs/>
    </w:rPr>
  </w:style>
  <w:style w:type="character" w:customStyle="1" w:styleId="faqvotingquestion">
    <w:name w:val="faq_votingquestion"/>
    <w:basedOn w:val="Fuentedeprrafopredeter"/>
    <w:rsid w:val="003704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425533">
      <w:bodyDiv w:val="1"/>
      <w:marLeft w:val="0"/>
      <w:marRight w:val="0"/>
      <w:marTop w:val="0"/>
      <w:marBottom w:val="0"/>
      <w:divBdr>
        <w:top w:val="none" w:sz="0" w:space="0" w:color="auto"/>
        <w:left w:val="none" w:sz="0" w:space="0" w:color="auto"/>
        <w:bottom w:val="none" w:sz="0" w:space="0" w:color="auto"/>
        <w:right w:val="none" w:sz="0" w:space="0" w:color="auto"/>
      </w:divBdr>
      <w:divsChild>
        <w:div w:id="2082635516">
          <w:marLeft w:val="0"/>
          <w:marRight w:val="0"/>
          <w:marTop w:val="0"/>
          <w:marBottom w:val="0"/>
          <w:divBdr>
            <w:top w:val="none" w:sz="0" w:space="0" w:color="auto"/>
            <w:left w:val="none" w:sz="0" w:space="0" w:color="auto"/>
            <w:bottom w:val="none" w:sz="0" w:space="0" w:color="auto"/>
            <w:right w:val="none" w:sz="0" w:space="0" w:color="auto"/>
          </w:divBdr>
        </w:div>
        <w:div w:id="34087829">
          <w:marLeft w:val="0"/>
          <w:marRight w:val="0"/>
          <w:marTop w:val="0"/>
          <w:marBottom w:val="0"/>
          <w:divBdr>
            <w:top w:val="none" w:sz="0" w:space="0" w:color="auto"/>
            <w:left w:val="none" w:sz="0" w:space="0" w:color="auto"/>
            <w:bottom w:val="none" w:sz="0" w:space="0" w:color="auto"/>
            <w:right w:val="none" w:sz="0" w:space="0" w:color="auto"/>
          </w:divBdr>
          <w:divsChild>
            <w:div w:id="299771770">
              <w:marLeft w:val="0"/>
              <w:marRight w:val="0"/>
              <w:marTop w:val="0"/>
              <w:marBottom w:val="0"/>
              <w:divBdr>
                <w:top w:val="none" w:sz="0" w:space="0" w:color="auto"/>
                <w:left w:val="none" w:sz="0" w:space="0" w:color="auto"/>
                <w:bottom w:val="none" w:sz="0" w:space="0" w:color="auto"/>
                <w:right w:val="none" w:sz="0" w:space="0" w:color="auto"/>
              </w:divBdr>
              <w:divsChild>
                <w:div w:id="104491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709047">
      <w:bodyDiv w:val="1"/>
      <w:marLeft w:val="0"/>
      <w:marRight w:val="0"/>
      <w:marTop w:val="0"/>
      <w:marBottom w:val="0"/>
      <w:divBdr>
        <w:top w:val="none" w:sz="0" w:space="0" w:color="auto"/>
        <w:left w:val="none" w:sz="0" w:space="0" w:color="auto"/>
        <w:bottom w:val="none" w:sz="0" w:space="0" w:color="auto"/>
        <w:right w:val="none" w:sz="0" w:space="0" w:color="auto"/>
      </w:divBdr>
      <w:divsChild>
        <w:div w:id="50270071">
          <w:marLeft w:val="0"/>
          <w:marRight w:val="0"/>
          <w:marTop w:val="0"/>
          <w:marBottom w:val="0"/>
          <w:divBdr>
            <w:top w:val="none" w:sz="0" w:space="0" w:color="auto"/>
            <w:left w:val="none" w:sz="0" w:space="0" w:color="auto"/>
            <w:bottom w:val="none" w:sz="0" w:space="0" w:color="auto"/>
            <w:right w:val="none" w:sz="0" w:space="0" w:color="auto"/>
          </w:divBdr>
        </w:div>
        <w:div w:id="5255726">
          <w:marLeft w:val="0"/>
          <w:marRight w:val="0"/>
          <w:marTop w:val="0"/>
          <w:marBottom w:val="0"/>
          <w:divBdr>
            <w:top w:val="none" w:sz="0" w:space="0" w:color="auto"/>
            <w:left w:val="none" w:sz="0" w:space="0" w:color="auto"/>
            <w:bottom w:val="none" w:sz="0" w:space="0" w:color="auto"/>
            <w:right w:val="none" w:sz="0" w:space="0" w:color="auto"/>
          </w:divBdr>
          <w:divsChild>
            <w:div w:id="1419256030">
              <w:marLeft w:val="0"/>
              <w:marRight w:val="0"/>
              <w:marTop w:val="0"/>
              <w:marBottom w:val="0"/>
              <w:divBdr>
                <w:top w:val="none" w:sz="0" w:space="0" w:color="auto"/>
                <w:left w:val="none" w:sz="0" w:space="0" w:color="auto"/>
                <w:bottom w:val="none" w:sz="0" w:space="0" w:color="auto"/>
                <w:right w:val="none" w:sz="0" w:space="0" w:color="auto"/>
              </w:divBdr>
              <w:divsChild>
                <w:div w:id="163991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660735">
      <w:bodyDiv w:val="1"/>
      <w:marLeft w:val="0"/>
      <w:marRight w:val="0"/>
      <w:marTop w:val="0"/>
      <w:marBottom w:val="0"/>
      <w:divBdr>
        <w:top w:val="none" w:sz="0" w:space="0" w:color="auto"/>
        <w:left w:val="none" w:sz="0" w:space="0" w:color="auto"/>
        <w:bottom w:val="none" w:sz="0" w:space="0" w:color="auto"/>
        <w:right w:val="none" w:sz="0" w:space="0" w:color="auto"/>
      </w:divBdr>
      <w:divsChild>
        <w:div w:id="2107462575">
          <w:marLeft w:val="0"/>
          <w:marRight w:val="0"/>
          <w:marTop w:val="0"/>
          <w:marBottom w:val="0"/>
          <w:divBdr>
            <w:top w:val="none" w:sz="0" w:space="0" w:color="auto"/>
            <w:left w:val="none" w:sz="0" w:space="0" w:color="auto"/>
            <w:bottom w:val="none" w:sz="0" w:space="0" w:color="auto"/>
            <w:right w:val="none" w:sz="0" w:space="0" w:color="auto"/>
          </w:divBdr>
        </w:div>
        <w:div w:id="1440182876">
          <w:marLeft w:val="0"/>
          <w:marRight w:val="0"/>
          <w:marTop w:val="0"/>
          <w:marBottom w:val="0"/>
          <w:divBdr>
            <w:top w:val="none" w:sz="0" w:space="0" w:color="auto"/>
            <w:left w:val="none" w:sz="0" w:space="0" w:color="auto"/>
            <w:bottom w:val="none" w:sz="0" w:space="0" w:color="auto"/>
            <w:right w:val="none" w:sz="0" w:space="0" w:color="auto"/>
          </w:divBdr>
          <w:divsChild>
            <w:div w:id="1449737633">
              <w:marLeft w:val="0"/>
              <w:marRight w:val="0"/>
              <w:marTop w:val="0"/>
              <w:marBottom w:val="0"/>
              <w:divBdr>
                <w:top w:val="none" w:sz="0" w:space="0" w:color="auto"/>
                <w:left w:val="none" w:sz="0" w:space="0" w:color="auto"/>
                <w:bottom w:val="none" w:sz="0" w:space="0" w:color="auto"/>
                <w:right w:val="none" w:sz="0" w:space="0" w:color="auto"/>
              </w:divBdr>
              <w:divsChild>
                <w:div w:id="213845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652443">
      <w:bodyDiv w:val="1"/>
      <w:marLeft w:val="0"/>
      <w:marRight w:val="0"/>
      <w:marTop w:val="0"/>
      <w:marBottom w:val="0"/>
      <w:divBdr>
        <w:top w:val="none" w:sz="0" w:space="0" w:color="auto"/>
        <w:left w:val="none" w:sz="0" w:space="0" w:color="auto"/>
        <w:bottom w:val="none" w:sz="0" w:space="0" w:color="auto"/>
        <w:right w:val="none" w:sz="0" w:space="0" w:color="auto"/>
      </w:divBdr>
      <w:divsChild>
        <w:div w:id="1123423153">
          <w:marLeft w:val="0"/>
          <w:marRight w:val="0"/>
          <w:marTop w:val="0"/>
          <w:marBottom w:val="0"/>
          <w:divBdr>
            <w:top w:val="none" w:sz="0" w:space="0" w:color="auto"/>
            <w:left w:val="none" w:sz="0" w:space="0" w:color="auto"/>
            <w:bottom w:val="none" w:sz="0" w:space="0" w:color="auto"/>
            <w:right w:val="none" w:sz="0" w:space="0" w:color="auto"/>
          </w:divBdr>
        </w:div>
        <w:div w:id="183518438">
          <w:marLeft w:val="0"/>
          <w:marRight w:val="0"/>
          <w:marTop w:val="0"/>
          <w:marBottom w:val="0"/>
          <w:divBdr>
            <w:top w:val="none" w:sz="0" w:space="0" w:color="auto"/>
            <w:left w:val="none" w:sz="0" w:space="0" w:color="auto"/>
            <w:bottom w:val="none" w:sz="0" w:space="0" w:color="auto"/>
            <w:right w:val="none" w:sz="0" w:space="0" w:color="auto"/>
          </w:divBdr>
          <w:divsChild>
            <w:div w:id="987898973">
              <w:marLeft w:val="0"/>
              <w:marRight w:val="0"/>
              <w:marTop w:val="0"/>
              <w:marBottom w:val="0"/>
              <w:divBdr>
                <w:top w:val="none" w:sz="0" w:space="0" w:color="auto"/>
                <w:left w:val="none" w:sz="0" w:space="0" w:color="auto"/>
                <w:bottom w:val="none" w:sz="0" w:space="0" w:color="auto"/>
                <w:right w:val="none" w:sz="0" w:space="0" w:color="auto"/>
              </w:divBdr>
              <w:divsChild>
                <w:div w:id="187665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730561">
      <w:bodyDiv w:val="1"/>
      <w:marLeft w:val="0"/>
      <w:marRight w:val="0"/>
      <w:marTop w:val="0"/>
      <w:marBottom w:val="0"/>
      <w:divBdr>
        <w:top w:val="none" w:sz="0" w:space="0" w:color="auto"/>
        <w:left w:val="none" w:sz="0" w:space="0" w:color="auto"/>
        <w:bottom w:val="none" w:sz="0" w:space="0" w:color="auto"/>
        <w:right w:val="none" w:sz="0" w:space="0" w:color="auto"/>
      </w:divBdr>
      <w:divsChild>
        <w:div w:id="146242892">
          <w:marLeft w:val="0"/>
          <w:marRight w:val="0"/>
          <w:marTop w:val="0"/>
          <w:marBottom w:val="0"/>
          <w:divBdr>
            <w:top w:val="none" w:sz="0" w:space="0" w:color="auto"/>
            <w:left w:val="none" w:sz="0" w:space="0" w:color="auto"/>
            <w:bottom w:val="dashed" w:sz="6" w:space="0" w:color="E5E5E5"/>
            <w:right w:val="none" w:sz="0" w:space="0" w:color="auto"/>
          </w:divBdr>
          <w:divsChild>
            <w:div w:id="1560823856">
              <w:marLeft w:val="0"/>
              <w:marRight w:val="0"/>
              <w:marTop w:val="0"/>
              <w:marBottom w:val="0"/>
              <w:divBdr>
                <w:top w:val="none" w:sz="0" w:space="0" w:color="auto"/>
                <w:left w:val="none" w:sz="0" w:space="0" w:color="auto"/>
                <w:bottom w:val="none" w:sz="0" w:space="0" w:color="auto"/>
                <w:right w:val="none" w:sz="0" w:space="0" w:color="auto"/>
              </w:divBdr>
              <w:divsChild>
                <w:div w:id="1639988407">
                  <w:marLeft w:val="0"/>
                  <w:marRight w:val="0"/>
                  <w:marTop w:val="0"/>
                  <w:marBottom w:val="0"/>
                  <w:divBdr>
                    <w:top w:val="none" w:sz="0" w:space="0" w:color="auto"/>
                    <w:left w:val="none" w:sz="0" w:space="0" w:color="auto"/>
                    <w:bottom w:val="none" w:sz="0" w:space="0" w:color="auto"/>
                    <w:right w:val="none" w:sz="0" w:space="0" w:color="auto"/>
                  </w:divBdr>
                  <w:divsChild>
                    <w:div w:id="1915316254">
                      <w:marLeft w:val="0"/>
                      <w:marRight w:val="0"/>
                      <w:marTop w:val="360"/>
                      <w:marBottom w:val="192"/>
                      <w:divBdr>
                        <w:top w:val="single" w:sz="6" w:space="6" w:color="E3E8F3"/>
                        <w:left w:val="single" w:sz="6" w:space="6" w:color="E3E8F3"/>
                        <w:bottom w:val="single" w:sz="6" w:space="6" w:color="E3E8F3"/>
                        <w:right w:val="single" w:sz="6" w:space="6" w:color="E3E8F3"/>
                      </w:divBdr>
                      <w:divsChild>
                        <w:div w:id="69789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730017">
          <w:marLeft w:val="0"/>
          <w:marRight w:val="0"/>
          <w:marTop w:val="0"/>
          <w:marBottom w:val="0"/>
          <w:divBdr>
            <w:top w:val="none" w:sz="0" w:space="0" w:color="auto"/>
            <w:left w:val="none" w:sz="0" w:space="0" w:color="auto"/>
            <w:bottom w:val="dashed" w:sz="6" w:space="0" w:color="E5E5E5"/>
            <w:right w:val="none" w:sz="0" w:space="0" w:color="auto"/>
          </w:divBdr>
          <w:divsChild>
            <w:div w:id="1925533909">
              <w:marLeft w:val="0"/>
              <w:marRight w:val="0"/>
              <w:marTop w:val="0"/>
              <w:marBottom w:val="0"/>
              <w:divBdr>
                <w:top w:val="none" w:sz="0" w:space="0" w:color="auto"/>
                <w:left w:val="none" w:sz="0" w:space="0" w:color="auto"/>
                <w:bottom w:val="none" w:sz="0" w:space="0" w:color="auto"/>
                <w:right w:val="none" w:sz="0" w:space="0" w:color="auto"/>
              </w:divBdr>
            </w:div>
            <w:div w:id="1081291320">
              <w:marLeft w:val="0"/>
              <w:marRight w:val="0"/>
              <w:marTop w:val="0"/>
              <w:marBottom w:val="0"/>
              <w:divBdr>
                <w:top w:val="none" w:sz="0" w:space="0" w:color="auto"/>
                <w:left w:val="none" w:sz="0" w:space="0" w:color="auto"/>
                <w:bottom w:val="none" w:sz="0" w:space="0" w:color="auto"/>
                <w:right w:val="none" w:sz="0" w:space="0" w:color="auto"/>
              </w:divBdr>
              <w:divsChild>
                <w:div w:id="92013763">
                  <w:marLeft w:val="0"/>
                  <w:marRight w:val="0"/>
                  <w:marTop w:val="0"/>
                  <w:marBottom w:val="0"/>
                  <w:divBdr>
                    <w:top w:val="none" w:sz="0" w:space="0" w:color="auto"/>
                    <w:left w:val="none" w:sz="0" w:space="0" w:color="auto"/>
                    <w:bottom w:val="none" w:sz="0" w:space="0" w:color="auto"/>
                    <w:right w:val="none" w:sz="0" w:space="0" w:color="auto"/>
                  </w:divBdr>
                  <w:divsChild>
                    <w:div w:id="359207135">
                      <w:marLeft w:val="0"/>
                      <w:marRight w:val="0"/>
                      <w:marTop w:val="0"/>
                      <w:marBottom w:val="0"/>
                      <w:divBdr>
                        <w:top w:val="none" w:sz="0" w:space="0" w:color="auto"/>
                        <w:left w:val="none" w:sz="0" w:space="0" w:color="auto"/>
                        <w:bottom w:val="none" w:sz="0" w:space="0" w:color="auto"/>
                        <w:right w:val="none" w:sz="0" w:space="0" w:color="auto"/>
                      </w:divBdr>
                    </w:div>
                    <w:div w:id="619993374">
                      <w:marLeft w:val="0"/>
                      <w:marRight w:val="0"/>
                      <w:marTop w:val="360"/>
                      <w:marBottom w:val="192"/>
                      <w:divBdr>
                        <w:top w:val="single" w:sz="6" w:space="6" w:color="E3E8F3"/>
                        <w:left w:val="single" w:sz="6" w:space="6" w:color="E3E8F3"/>
                        <w:bottom w:val="single" w:sz="6" w:space="6" w:color="E3E8F3"/>
                        <w:right w:val="single" w:sz="6" w:space="6" w:color="E3E8F3"/>
                      </w:divBdr>
                      <w:divsChild>
                        <w:div w:id="504824900">
                          <w:marLeft w:val="0"/>
                          <w:marRight w:val="0"/>
                          <w:marTop w:val="0"/>
                          <w:marBottom w:val="0"/>
                          <w:divBdr>
                            <w:top w:val="none" w:sz="0" w:space="0" w:color="auto"/>
                            <w:left w:val="none" w:sz="0" w:space="0" w:color="auto"/>
                            <w:bottom w:val="none" w:sz="0" w:space="0" w:color="auto"/>
                            <w:right w:val="none" w:sz="0" w:space="0" w:color="auto"/>
                          </w:divBdr>
                          <w:divsChild>
                            <w:div w:id="1785493126">
                              <w:marLeft w:val="150"/>
                              <w:marRight w:val="0"/>
                              <w:marTop w:val="0"/>
                              <w:marBottom w:val="0"/>
                              <w:divBdr>
                                <w:top w:val="none" w:sz="0" w:space="0" w:color="auto"/>
                                <w:left w:val="none" w:sz="0" w:space="0" w:color="auto"/>
                                <w:bottom w:val="none" w:sz="0" w:space="0" w:color="auto"/>
                                <w:right w:val="none" w:sz="0" w:space="0" w:color="auto"/>
                              </w:divBdr>
                              <w:divsChild>
                                <w:div w:id="953170211">
                                  <w:marLeft w:val="60"/>
                                  <w:marRight w:val="60"/>
                                  <w:marTop w:val="0"/>
                                  <w:marBottom w:val="0"/>
                                  <w:divBdr>
                                    <w:top w:val="none" w:sz="0" w:space="0" w:color="auto"/>
                                    <w:left w:val="none" w:sz="0" w:space="0" w:color="auto"/>
                                    <w:bottom w:val="none" w:sz="0" w:space="0" w:color="auto"/>
                                    <w:right w:val="none" w:sz="0" w:space="0" w:color="auto"/>
                                  </w:divBdr>
                                </w:div>
                                <w:div w:id="36973377">
                                  <w:marLeft w:val="60"/>
                                  <w:marRight w:val="60"/>
                                  <w:marTop w:val="0"/>
                                  <w:marBottom w:val="0"/>
                                  <w:divBdr>
                                    <w:top w:val="none" w:sz="0" w:space="0" w:color="auto"/>
                                    <w:left w:val="none" w:sz="0" w:space="0" w:color="auto"/>
                                    <w:bottom w:val="none" w:sz="0" w:space="0" w:color="auto"/>
                                    <w:right w:val="none" w:sz="0" w:space="0" w:color="auto"/>
                                  </w:divBdr>
                                </w:div>
                              </w:divsChild>
                            </w:div>
                          </w:divsChild>
                        </w:div>
                        <w:div w:id="91574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457801">
          <w:marLeft w:val="0"/>
          <w:marRight w:val="0"/>
          <w:marTop w:val="0"/>
          <w:marBottom w:val="0"/>
          <w:divBdr>
            <w:top w:val="none" w:sz="0" w:space="0" w:color="auto"/>
            <w:left w:val="none" w:sz="0" w:space="0" w:color="auto"/>
            <w:bottom w:val="dashed" w:sz="6" w:space="0" w:color="E5E5E5"/>
            <w:right w:val="none" w:sz="0" w:space="0" w:color="auto"/>
          </w:divBdr>
          <w:divsChild>
            <w:div w:id="135689167">
              <w:marLeft w:val="0"/>
              <w:marRight w:val="0"/>
              <w:marTop w:val="0"/>
              <w:marBottom w:val="0"/>
              <w:divBdr>
                <w:top w:val="none" w:sz="0" w:space="0" w:color="auto"/>
                <w:left w:val="none" w:sz="0" w:space="0" w:color="auto"/>
                <w:bottom w:val="none" w:sz="0" w:space="0" w:color="auto"/>
                <w:right w:val="none" w:sz="0" w:space="0" w:color="auto"/>
              </w:divBdr>
            </w:div>
            <w:div w:id="187108610">
              <w:marLeft w:val="0"/>
              <w:marRight w:val="0"/>
              <w:marTop w:val="0"/>
              <w:marBottom w:val="0"/>
              <w:divBdr>
                <w:top w:val="none" w:sz="0" w:space="0" w:color="auto"/>
                <w:left w:val="none" w:sz="0" w:space="0" w:color="auto"/>
                <w:bottom w:val="none" w:sz="0" w:space="0" w:color="auto"/>
                <w:right w:val="none" w:sz="0" w:space="0" w:color="auto"/>
              </w:divBdr>
              <w:divsChild>
                <w:div w:id="1278682645">
                  <w:marLeft w:val="0"/>
                  <w:marRight w:val="0"/>
                  <w:marTop w:val="0"/>
                  <w:marBottom w:val="0"/>
                  <w:divBdr>
                    <w:top w:val="none" w:sz="0" w:space="0" w:color="auto"/>
                    <w:left w:val="none" w:sz="0" w:space="0" w:color="auto"/>
                    <w:bottom w:val="none" w:sz="0" w:space="0" w:color="auto"/>
                    <w:right w:val="none" w:sz="0" w:space="0" w:color="auto"/>
                  </w:divBdr>
                  <w:divsChild>
                    <w:div w:id="1727683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gov.ar/faqs/preguntas-generales/sifere/sirpei" TargetMode="External"/><Relationship Id="rId3" Type="http://schemas.openxmlformats.org/officeDocument/2006/relationships/webSettings" Target="webSettings.xml"/><Relationship Id="rId7" Type="http://schemas.openxmlformats.org/officeDocument/2006/relationships/hyperlink" Target="http://www.ca.gov.ar/faqs/preguntas-generales/sifere/sirpe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a.gov.ar/faqs/preguntas-generales/sifere/sirpei" TargetMode="External"/><Relationship Id="rId5" Type="http://schemas.openxmlformats.org/officeDocument/2006/relationships/hyperlink" Target="http://www.ca.gov.ar/faqs/preguntas-generales/sifere/sirpei" TargetMode="External"/><Relationship Id="rId10" Type="http://schemas.openxmlformats.org/officeDocument/2006/relationships/theme" Target="theme/theme1.xml"/><Relationship Id="rId4" Type="http://schemas.openxmlformats.org/officeDocument/2006/relationships/hyperlink" Target="http://www.ca.gov.ar/faqs/preguntas-generales/sifere/sirpei" TargetMode="Externa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409</Words>
  <Characters>2253</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TOTVS S.A.</Company>
  <LinksUpToDate>false</LinksUpToDate>
  <CharactersWithSpaces>2657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Jose Moreno</dc:creator>
  <cp:keywords/>
  <dc:description/>
  <cp:lastModifiedBy>Juan Jose Moreno</cp:lastModifiedBy>
  <cp:revision>1</cp:revision>
  <dcterms:created xsi:type="dcterms:W3CDTF">2017-03-15T15:24:00Z</dcterms:created>
  <dcterms:modified xsi:type="dcterms:W3CDTF">2017-03-15T15:29:00Z</dcterms:modified>
</cp:coreProperties>
</file>